
<file path=[Content_Types].xml><?xml version="1.0" encoding="utf-8"?>
<Types xmlns="http://schemas.openxmlformats.org/package/2006/content-types">
  <Default Extension="xml" ContentType="application/xml"/>
  <Default Extension="jpeg" ContentType="image/jpeg"/>
  <Default Extension="wmf" ContentType="image/x-wmf"/>
  <Default Extension="png" ContentType="image/png"/>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footer1.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header1.xml" ContentType="application/vnd.openxmlformats-officedocument.wordprocessingml.header+xml"/>
  <Override PartName="/word/webSettings.xml" ContentType="application/vnd.openxmlformats-officedocument.wordprocessingml.webSetting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132"/>
        <w:pBdr/>
        <w:spacing w:line="276" w:lineRule="auto"/>
        <w:ind/>
        <w:rPr/>
      </w:pPr>
      <w:r>
        <w:t xml:space="preserve">OBSAH</w:t>
      </w:r>
      <w:r/>
    </w:p>
    <w:p w14:paraId="38DA8ED0">
      <w:pPr>
        <w:pStyle w:val="1101"/>
        <w:pBdr/>
        <w:tabs>
          <w:tab w:val="left" w:leader="none" w:pos="567"/>
          <w:tab w:val="clear" w:leader="none" w:pos="567"/>
          <w:tab w:val="right" w:leader="dot" w:pos="9355"/>
        </w:tabs>
        <w:spacing/>
        <w:ind/>
        <w:rPr/>
      </w:pPr>
      <w:r>
        <w:fldChar w:fldCharType="begin"/>
      </w:r>
      <w:r>
        <w:instrText xml:space="preserve"> TOC \o "1-3" \h \z \u </w:instrText>
      </w:r>
      <w:r>
        <w:fldChar w:fldCharType="separate"/>
      </w:r>
      <w:r/>
      <w:hyperlink w:tooltip="#_Toc1" w:anchor="_Toc1" w:history="1">
        <w:r>
          <w:rPr>
            <w:rFonts w:ascii="Arial" w:hAnsi="Arial" w:eastAsia="Times New Roman" w:cs="Times New Roman"/>
          </w:rPr>
          <w:t xml:space="preserve">1.</w:t>
        </w:r>
        <w:r>
          <w:tab/>
        </w:r>
        <w:r>
          <w:rPr>
            <w:rStyle w:val="1148"/>
          </w:rPr>
        </w:r>
        <w:r>
          <w:rPr>
            <w:rStyle w:val="1148"/>
          </w:rPr>
          <w:t xml:space="preserve">SO 02 – NOVÁ BUDOVA ČOV</w:t>
        </w:r>
        <w:r>
          <w:rPr>
            <w:rStyle w:val="1148"/>
          </w:rPr>
        </w:r>
        <w:r>
          <w:tab/>
        </w:r>
        <w:r>
          <w:fldChar w:fldCharType="begin"/>
          <w:instrText xml:space="preserve">PAGEREF _Toc1 \h</w:instrText>
          <w:fldChar w:fldCharType="separate"/>
          <w:t xml:space="preserve">2</w:t>
          <w:fldChar w:fldCharType="end"/>
        </w:r>
      </w:hyperlink>
      <w:r/>
    </w:p>
    <w:p w14:paraId="686353C0">
      <w:pPr>
        <w:pStyle w:val="1102"/>
        <w:pBdr/>
        <w:tabs>
          <w:tab w:val="clear" w:leader="none" w:pos="567"/>
          <w:tab w:val="left" w:leader="none" w:pos="1134"/>
          <w:tab w:val="right" w:leader="dot" w:pos="9355"/>
        </w:tabs>
        <w:spacing/>
        <w:ind/>
        <w:rPr/>
      </w:pPr>
      <w:hyperlink w:tooltip="#_Toc2" w:anchor="_Toc2" w:history="1">
        <w:r>
          <w:rPr>
            <w:rFonts w:ascii="Arial" w:hAnsi="Arial" w:eastAsia="Times New Roman" w:cs="Times New Roman"/>
          </w:rPr>
          <w:t xml:space="preserve">1.1.</w:t>
        </w:r>
        <w:r>
          <w:tab/>
        </w:r>
        <w:r>
          <w:rPr>
            <w:rStyle w:val="1148"/>
          </w:rPr>
        </w:r>
        <w:r>
          <w:rPr>
            <w:rStyle w:val="1148"/>
          </w:rPr>
          <w:t xml:space="preserve">KONCEPCE ŘEŠENÍ</w:t>
        </w:r>
        <w:r>
          <w:rPr>
            <w:rStyle w:val="1148"/>
          </w:rPr>
        </w:r>
        <w:r>
          <w:tab/>
        </w:r>
        <w:r>
          <w:fldChar w:fldCharType="begin"/>
          <w:instrText xml:space="preserve">PAGEREF _Toc2 \h</w:instrText>
          <w:fldChar w:fldCharType="separate"/>
          <w:t xml:space="preserve">2</w:t>
          <w:fldChar w:fldCharType="end"/>
        </w:r>
      </w:hyperlink>
      <w:r/>
    </w:p>
    <w:p w14:paraId="79595E53">
      <w:pPr>
        <w:pStyle w:val="1102"/>
        <w:pBdr/>
        <w:tabs>
          <w:tab w:val="clear" w:leader="none" w:pos="567"/>
          <w:tab w:val="left" w:leader="none" w:pos="1134"/>
          <w:tab w:val="right" w:leader="dot" w:pos="9355"/>
        </w:tabs>
        <w:spacing/>
        <w:ind/>
        <w:rPr/>
      </w:pPr>
      <w:hyperlink w:tooltip="#_Toc3" w:anchor="_Toc3" w:history="1">
        <w:r>
          <w:rPr>
            <w:rFonts w:ascii="Arial" w:hAnsi="Arial" w:eastAsia="Times New Roman" w:cs="Times New Roman"/>
          </w:rPr>
          <w:t xml:space="preserve">1.2.</w:t>
        </w:r>
        <w:r>
          <w:tab/>
        </w:r>
        <w:r>
          <w:rPr>
            <w:rStyle w:val="1148"/>
          </w:rPr>
        </w:r>
        <w:r>
          <w:rPr>
            <w:rStyle w:val="1148"/>
          </w:rPr>
          <w:t xml:space="preserve">POPIS TECHNOLOGIE ČOV</w:t>
        </w:r>
        <w:r>
          <w:rPr>
            <w:rStyle w:val="1148"/>
          </w:rPr>
        </w:r>
        <w:r>
          <w:tab/>
        </w:r>
        <w:r>
          <w:fldChar w:fldCharType="begin"/>
          <w:instrText xml:space="preserve">PAGEREF _Toc3 \h</w:instrText>
          <w:fldChar w:fldCharType="separate"/>
          <w:t xml:space="preserve">3</w:t>
          <w:fldChar w:fldCharType="end"/>
        </w:r>
      </w:hyperlink>
      <w:r/>
    </w:p>
    <w:p w14:paraId="33CA9845">
      <w:pPr>
        <w:pStyle w:val="1102"/>
        <w:pBdr/>
        <w:tabs>
          <w:tab w:val="clear" w:leader="none" w:pos="567"/>
          <w:tab w:val="left" w:leader="none" w:pos="1134"/>
          <w:tab w:val="right" w:leader="dot" w:pos="9355"/>
        </w:tabs>
        <w:spacing/>
        <w:ind/>
        <w:rPr/>
      </w:pPr>
      <w:hyperlink w:tooltip="#_Toc4" w:anchor="_Toc4" w:history="1">
        <w:r>
          <w:rPr>
            <w:rFonts w:ascii="Arial" w:hAnsi="Arial" w:eastAsia="Times New Roman" w:cs="Times New Roman"/>
          </w:rPr>
          <w:t xml:space="preserve">1.3.</w:t>
        </w:r>
        <w:r>
          <w:tab/>
        </w:r>
        <w:r>
          <w:rPr>
            <w:rStyle w:val="1148"/>
          </w:rPr>
        </w:r>
        <w:r>
          <w:rPr>
            <w:rStyle w:val="1148"/>
          </w:rPr>
          <w:t xml:space="preserve">STAVEBNÍ ČÁST</w:t>
        </w:r>
        <w:r>
          <w:rPr>
            <w:rStyle w:val="1148"/>
          </w:rPr>
        </w:r>
        <w:r>
          <w:tab/>
        </w:r>
        <w:r>
          <w:fldChar w:fldCharType="begin"/>
          <w:instrText xml:space="preserve">PAGEREF _Toc4 \h</w:instrText>
          <w:fldChar w:fldCharType="separate"/>
          <w:t xml:space="preserve">10</w:t>
          <w:fldChar w:fldCharType="end"/>
        </w:r>
      </w:hyperlink>
      <w:r/>
    </w:p>
    <w:p w14:paraId="2F3652CB">
      <w:pPr>
        <w:pStyle w:val="1103"/>
        <w:pBdr/>
        <w:tabs>
          <w:tab w:val="clear" w:leader="none" w:pos="567"/>
          <w:tab w:val="left" w:leader="none" w:pos="1417"/>
          <w:tab w:val="right" w:leader="dot" w:pos="9355"/>
        </w:tabs>
        <w:spacing/>
        <w:ind/>
        <w:rPr/>
      </w:pPr>
      <w:hyperlink w:tooltip="#_Toc5" w:anchor="_Toc5" w:history="1">
        <w:r>
          <w:rPr>
            <w:rFonts w:ascii="Arial" w:hAnsi="Arial" w:eastAsia="Times New Roman" w:cs="Times New Roman"/>
          </w:rPr>
          <w:t xml:space="preserve">1.3.1.</w:t>
        </w:r>
        <w:r>
          <w:tab/>
        </w:r>
        <w:r>
          <w:rPr>
            <w:rStyle w:val="1148"/>
          </w:rPr>
        </w:r>
        <w:r>
          <w:rPr>
            <w:rStyle w:val="1148"/>
          </w:rPr>
          <w:t xml:space="preserve">VÝKOPY</w:t>
        </w:r>
        <w:r>
          <w:rPr>
            <w:rStyle w:val="1148"/>
          </w:rPr>
        </w:r>
        <w:r>
          <w:tab/>
        </w:r>
        <w:r>
          <w:fldChar w:fldCharType="begin"/>
          <w:instrText xml:space="preserve">PAGEREF _Toc5 \h</w:instrText>
          <w:fldChar w:fldCharType="separate"/>
          <w:t xml:space="preserve">11</w:t>
          <w:fldChar w:fldCharType="end"/>
        </w:r>
      </w:hyperlink>
      <w:r/>
    </w:p>
    <w:p w14:paraId="4F9BD4A6">
      <w:pPr>
        <w:pStyle w:val="1103"/>
        <w:pBdr/>
        <w:tabs>
          <w:tab w:val="clear" w:leader="none" w:pos="567"/>
          <w:tab w:val="left" w:leader="none" w:pos="1417"/>
          <w:tab w:val="right" w:leader="dot" w:pos="9355"/>
        </w:tabs>
        <w:spacing/>
        <w:ind/>
        <w:rPr/>
      </w:pPr>
      <w:hyperlink w:tooltip="#_Toc6" w:anchor="_Toc6" w:history="1">
        <w:r>
          <w:rPr>
            <w:rFonts w:ascii="Arial" w:hAnsi="Arial" w:eastAsia="Times New Roman" w:cs="Times New Roman"/>
          </w:rPr>
          <w:t xml:space="preserve">1.3.2.</w:t>
        </w:r>
        <w:r>
          <w:tab/>
        </w:r>
        <w:r>
          <w:rPr>
            <w:rStyle w:val="1148"/>
          </w:rPr>
        </w:r>
        <w:r>
          <w:rPr>
            <w:rStyle w:val="1148"/>
          </w:rPr>
          <w:t xml:space="preserve">NÁDRŽE – TLOUŠ</w:t>
        </w:r>
        <w:r>
          <w:rPr>
            <w:rStyle w:val="1148"/>
          </w:rPr>
          <w:t xml:space="preserve">ŤKY KONSTRUKCÍ</w:t>
        </w:r>
        <w:r>
          <w:rPr>
            <w:rStyle w:val="1148"/>
          </w:rPr>
        </w:r>
        <w:r>
          <w:tab/>
        </w:r>
        <w:r>
          <w:fldChar w:fldCharType="begin"/>
          <w:instrText xml:space="preserve">PAGEREF _Toc6 \h</w:instrText>
          <w:fldChar w:fldCharType="separate"/>
          <w:t xml:space="preserve">11</w:t>
          <w:fldChar w:fldCharType="end"/>
        </w:r>
      </w:hyperlink>
      <w:r/>
    </w:p>
    <w:p w14:paraId="4B5AAF57">
      <w:pPr>
        <w:pStyle w:val="1103"/>
        <w:pBdr/>
        <w:tabs>
          <w:tab w:val="clear" w:leader="none" w:pos="567"/>
          <w:tab w:val="left" w:leader="none" w:pos="1417"/>
          <w:tab w:val="right" w:leader="dot" w:pos="9355"/>
        </w:tabs>
        <w:spacing/>
        <w:ind/>
        <w:rPr/>
      </w:pPr>
      <w:hyperlink w:tooltip="#_Toc7" w:anchor="_Toc7" w:history="1">
        <w:r>
          <w:rPr>
            <w:rFonts w:ascii="Arial" w:hAnsi="Arial" w:eastAsia="Times New Roman" w:cs="Times New Roman"/>
          </w:rPr>
          <w:t xml:space="preserve">1.3.3.</w:t>
        </w:r>
        <w:r>
          <w:tab/>
        </w:r>
        <w:r>
          <w:rPr>
            <w:rStyle w:val="1148"/>
          </w:rPr>
        </w:r>
        <w:r>
          <w:rPr>
            <w:rStyle w:val="1148"/>
          </w:rPr>
          <w:t xml:space="preserve">ZALOŽENÍ OBJEKTU</w:t>
        </w:r>
        <w:r>
          <w:rPr>
            <w:rStyle w:val="1148"/>
          </w:rPr>
        </w:r>
        <w:r>
          <w:tab/>
        </w:r>
        <w:r>
          <w:fldChar w:fldCharType="begin"/>
          <w:instrText xml:space="preserve">PAGEREF _Toc7 \h</w:instrText>
          <w:fldChar w:fldCharType="separate"/>
          <w:t xml:space="preserve">11</w:t>
          <w:fldChar w:fldCharType="end"/>
        </w:r>
      </w:hyperlink>
      <w:r/>
    </w:p>
    <w:p w14:paraId="58194DB9">
      <w:pPr>
        <w:pStyle w:val="1103"/>
        <w:pBdr/>
        <w:tabs>
          <w:tab w:val="clear" w:leader="none" w:pos="567"/>
          <w:tab w:val="left" w:leader="none" w:pos="1417"/>
          <w:tab w:val="right" w:leader="dot" w:pos="9355"/>
        </w:tabs>
        <w:spacing/>
        <w:ind/>
        <w:rPr/>
      </w:pPr>
      <w:hyperlink w:tooltip="#_Toc8" w:anchor="_Toc8" w:history="1">
        <w:r>
          <w:rPr>
            <w:rFonts w:ascii="Arial" w:hAnsi="Arial" w:eastAsia="Times New Roman" w:cs="Times New Roman"/>
          </w:rPr>
          <w:t xml:space="preserve">1.3.4.</w:t>
        </w:r>
        <w:r>
          <w:tab/>
        </w:r>
        <w:r>
          <w:rPr>
            <w:rStyle w:val="1148"/>
          </w:rPr>
        </w:r>
        <w:r>
          <w:rPr>
            <w:rStyle w:val="1148"/>
          </w:rPr>
          <w:t xml:space="preserve">SVISLÉ NOSNÉ KONSTRUKCE</w:t>
        </w:r>
        <w:r>
          <w:rPr>
            <w:rStyle w:val="1148"/>
          </w:rPr>
          <w:t xml:space="preserve"> – NÁDRŽE</w:t>
        </w:r>
        <w:r>
          <w:rPr>
            <w:rStyle w:val="1148"/>
          </w:rPr>
        </w:r>
        <w:r>
          <w:tab/>
        </w:r>
        <w:r>
          <w:fldChar w:fldCharType="begin"/>
          <w:instrText xml:space="preserve">PAGEREF _Toc8 \h</w:instrText>
          <w:fldChar w:fldCharType="separate"/>
          <w:t xml:space="preserve">13</w:t>
          <w:fldChar w:fldCharType="end"/>
        </w:r>
      </w:hyperlink>
      <w:r/>
    </w:p>
    <w:p w14:paraId="636EB1E0">
      <w:pPr>
        <w:pStyle w:val="1103"/>
        <w:pBdr/>
        <w:tabs>
          <w:tab w:val="clear" w:leader="none" w:pos="567"/>
          <w:tab w:val="left" w:leader="none" w:pos="1417"/>
          <w:tab w:val="right" w:leader="dot" w:pos="9355"/>
        </w:tabs>
        <w:spacing/>
        <w:ind/>
        <w:rPr/>
      </w:pPr>
      <w:hyperlink w:tooltip="#_Toc9" w:anchor="_Toc9" w:history="1">
        <w:r>
          <w:rPr>
            <w:rFonts w:ascii="Arial" w:hAnsi="Arial" w:eastAsia="Times New Roman" w:cs="Times New Roman"/>
          </w:rPr>
          <w:t xml:space="preserve">1.3.5.</w:t>
        </w:r>
        <w:r>
          <w:tab/>
        </w:r>
        <w:r>
          <w:rPr>
            <w:rStyle w:val="1148"/>
          </w:rPr>
        </w:r>
        <w:r>
          <w:rPr>
            <w:rStyle w:val="1148"/>
          </w:rPr>
          <w:t xml:space="preserve">SVISLÉ NOSNÉ KONSTRUKCE</w:t>
        </w:r>
        <w:r>
          <w:rPr>
            <w:rStyle w:val="1148"/>
          </w:rPr>
          <w:t xml:space="preserve"> – PROVOZNÍ OBJEKT </w:t>
        </w:r>
        <w:r>
          <w:rPr>
            <w:rStyle w:val="1148"/>
          </w:rPr>
        </w:r>
        <w:r>
          <w:tab/>
        </w:r>
        <w:r>
          <w:fldChar w:fldCharType="begin"/>
          <w:instrText xml:space="preserve">PAGEREF _Toc9 \h</w:instrText>
          <w:fldChar w:fldCharType="separate"/>
          <w:t xml:space="preserve">13</w:t>
          <w:fldChar w:fldCharType="end"/>
        </w:r>
      </w:hyperlink>
      <w:r/>
    </w:p>
    <w:p w14:paraId="51A7EFD5">
      <w:pPr>
        <w:pStyle w:val="1103"/>
        <w:pBdr/>
        <w:tabs>
          <w:tab w:val="clear" w:leader="none" w:pos="567"/>
          <w:tab w:val="left" w:leader="none" w:pos="1417"/>
          <w:tab w:val="right" w:leader="dot" w:pos="9355"/>
        </w:tabs>
        <w:spacing/>
        <w:ind/>
        <w:rPr/>
      </w:pPr>
      <w:hyperlink w:tooltip="#_Toc10" w:anchor="_Toc10" w:history="1">
        <w:r>
          <w:rPr>
            <w:rFonts w:ascii="Arial" w:hAnsi="Arial" w:eastAsia="Times New Roman" w:cs="Times New Roman"/>
          </w:rPr>
          <w:t xml:space="preserve">1.3.6.</w:t>
        </w:r>
        <w:r>
          <w:tab/>
        </w:r>
        <w:r>
          <w:rPr>
            <w:rStyle w:val="1148"/>
          </w:rPr>
        </w:r>
        <w:r>
          <w:rPr>
            <w:rStyle w:val="1148"/>
          </w:rPr>
          <w:t xml:space="preserve">VODOROVNÉ</w:t>
        </w:r>
        <w:r>
          <w:rPr>
            <w:rStyle w:val="1148"/>
          </w:rPr>
          <w:t xml:space="preserve"> </w:t>
        </w:r>
        <w:r>
          <w:rPr>
            <w:rStyle w:val="1148"/>
          </w:rPr>
          <w:t xml:space="preserve">KONSTRUKCE</w:t>
        </w:r>
        <w:r>
          <w:rPr>
            <w:rStyle w:val="1148"/>
          </w:rPr>
        </w:r>
        <w:r>
          <w:tab/>
        </w:r>
        <w:r>
          <w:fldChar w:fldCharType="begin"/>
          <w:instrText xml:space="preserve">PAGEREF _Toc10 \h</w:instrText>
          <w:fldChar w:fldCharType="separate"/>
          <w:t xml:space="preserve">13</w:t>
          <w:fldChar w:fldCharType="end"/>
        </w:r>
      </w:hyperlink>
      <w:r/>
    </w:p>
    <w:p w14:paraId="105C7745">
      <w:pPr>
        <w:pStyle w:val="1103"/>
        <w:pBdr/>
        <w:tabs>
          <w:tab w:val="clear" w:leader="none" w:pos="567"/>
          <w:tab w:val="left" w:leader="none" w:pos="1417"/>
          <w:tab w:val="right" w:leader="dot" w:pos="9355"/>
        </w:tabs>
        <w:spacing/>
        <w:ind/>
        <w:rPr/>
      </w:pPr>
      <w:hyperlink w:tooltip="#_Toc11" w:anchor="_Toc11" w:history="1">
        <w:r>
          <w:rPr>
            <w:rFonts w:ascii="Arial" w:hAnsi="Arial" w:eastAsia="Times New Roman" w:cs="Times New Roman"/>
          </w:rPr>
          <w:t xml:space="preserve">1.3.7.</w:t>
        </w:r>
        <w:r>
          <w:tab/>
        </w:r>
        <w:r>
          <w:rPr>
            <w:rStyle w:val="1148"/>
          </w:rPr>
        </w:r>
        <w:r>
          <w:rPr>
            <w:rStyle w:val="1148"/>
          </w:rPr>
          <w:t xml:space="preserve">ZASTŘEŠENÍ</w:t>
        </w:r>
        <w:r>
          <w:rPr>
            <w:rStyle w:val="1148"/>
          </w:rPr>
        </w:r>
        <w:r>
          <w:tab/>
        </w:r>
        <w:r>
          <w:fldChar w:fldCharType="begin"/>
          <w:instrText xml:space="preserve">PAGEREF _Toc11 \h</w:instrText>
          <w:fldChar w:fldCharType="separate"/>
          <w:t xml:space="preserve">14</w:t>
          <w:fldChar w:fldCharType="end"/>
        </w:r>
      </w:hyperlink>
      <w:r/>
    </w:p>
    <w:p w14:paraId="144D6E78">
      <w:pPr>
        <w:pStyle w:val="1103"/>
        <w:pBdr/>
        <w:tabs>
          <w:tab w:val="clear" w:leader="none" w:pos="567"/>
          <w:tab w:val="left" w:leader="none" w:pos="1417"/>
          <w:tab w:val="right" w:leader="dot" w:pos="9355"/>
        </w:tabs>
        <w:spacing/>
        <w:ind/>
        <w:rPr>
          <w:highlight w:val="none"/>
        </w:rPr>
      </w:pPr>
      <w:hyperlink w:tooltip="#_Toc12" w:anchor="_Toc12" w:history="1">
        <w:r>
          <w:rPr>
            <w:rFonts w:ascii="Arial" w:hAnsi="Arial" w:eastAsia="Times New Roman" w:cs="Times New Roman"/>
          </w:rPr>
          <w:t xml:space="preserve">1.3.8.</w:t>
        </w:r>
        <w:r>
          <w:tab/>
        </w:r>
        <w:r>
          <w:rPr>
            <w:rStyle w:val="1148"/>
          </w:rPr>
        </w:r>
        <w:r>
          <w:rPr>
            <w:rStyle w:val="1148"/>
            <w:highlight w:val="none"/>
          </w:rPr>
          <w:t xml:space="preserve">TRUBNÍ PROSTUPY</w:t>
        </w:r>
        <w:r>
          <w:rPr>
            <w:rStyle w:val="1148"/>
            <w:highlight w:val="none"/>
          </w:rPr>
        </w:r>
        <w:r>
          <w:tab/>
        </w:r>
        <w:r>
          <w:fldChar w:fldCharType="begin"/>
          <w:instrText xml:space="preserve">PAGEREF _Toc12 \h</w:instrText>
          <w:fldChar w:fldCharType="separate"/>
          <w:t xml:space="preserve">14</w:t>
          <w:fldChar w:fldCharType="end"/>
        </w:r>
      </w:hyperlink>
      <w:r>
        <w:rPr>
          <w:highlight w:val="none"/>
        </w:rPr>
      </w:r>
    </w:p>
    <w:p w14:paraId="38ED7C95">
      <w:pPr>
        <w:pStyle w:val="1101"/>
        <w:pBdr/>
        <w:tabs>
          <w:tab w:val="left" w:leader="none" w:pos="567"/>
          <w:tab w:val="clear" w:leader="none" w:pos="567"/>
          <w:tab w:val="right" w:leader="dot" w:pos="9355"/>
        </w:tabs>
        <w:spacing/>
        <w:ind/>
        <w:rPr/>
      </w:pPr>
      <w:hyperlink w:tooltip="#_Toc13" w:anchor="_Toc13" w:history="1">
        <w:r>
          <w:rPr>
            <w:rFonts w:ascii="Arial" w:hAnsi="Arial" w:eastAsia="Times New Roman" w:cs="Times New Roman"/>
          </w:rPr>
          <w:t xml:space="preserve">2.</w:t>
        </w:r>
        <w:r>
          <w:tab/>
        </w:r>
        <w:r>
          <w:rPr>
            <w:rStyle w:val="1148"/>
          </w:rPr>
        </w:r>
        <w:r>
          <w:rPr>
            <w:rStyle w:val="1148"/>
          </w:rPr>
          <w:t xml:space="preserve"> </w:t>
        </w:r>
        <w:r>
          <w:rPr>
            <w:rStyle w:val="1148"/>
          </w:rPr>
          <w:t xml:space="preserve">POPIS KONSTRUKČNÍCH SKLADEB</w:t>
        </w:r>
        <w:r>
          <w:rPr>
            <w:rStyle w:val="1148"/>
          </w:rPr>
        </w:r>
        <w:r>
          <w:tab/>
        </w:r>
        <w:r>
          <w:fldChar w:fldCharType="begin"/>
          <w:instrText xml:space="preserve">PAGEREF _Toc13 \h</w:instrText>
          <w:fldChar w:fldCharType="separate"/>
          <w:t xml:space="preserve">15</w:t>
          <w:fldChar w:fldCharType="end"/>
        </w:r>
      </w:hyperlink>
      <w:r/>
    </w:p>
    <w:p w14:paraId="65A3A792">
      <w:pPr>
        <w:pStyle w:val="1103"/>
        <w:pBdr/>
        <w:tabs>
          <w:tab w:val="clear" w:leader="none" w:pos="567"/>
          <w:tab w:val="left" w:leader="none" w:pos="1417"/>
          <w:tab w:val="right" w:leader="dot" w:pos="9355"/>
        </w:tabs>
        <w:spacing/>
        <w:ind/>
        <w:rPr/>
      </w:pPr>
      <w:hyperlink w:tooltip="#_Toc14" w:anchor="_Toc14" w:history="1">
        <w:r>
          <w:rPr>
            <w:rFonts w:ascii="Arial" w:hAnsi="Arial" w:eastAsia="Times New Roman" w:cs="Times New Roman"/>
          </w:rPr>
          <w:t xml:space="preserve">2.1.2.</w:t>
        </w:r>
        <w:r>
          <w:tab/>
        </w:r>
        <w:r>
          <w:rPr>
            <w:rStyle w:val="1148"/>
          </w:rPr>
        </w:r>
        <w:r>
          <w:rPr>
            <w:rStyle w:val="1148"/>
          </w:rPr>
          <w:t xml:space="preserve">ZASTŘEŠENÍ OBJEKTU</w:t>
        </w:r>
        <w:r>
          <w:rPr>
            <w:rStyle w:val="1148"/>
          </w:rPr>
        </w:r>
        <w:r>
          <w:tab/>
        </w:r>
        <w:r>
          <w:fldChar w:fldCharType="begin"/>
          <w:instrText xml:space="preserve">PAGEREF _Toc14 \h</w:instrText>
          <w:fldChar w:fldCharType="separate"/>
          <w:t xml:space="preserve">16</w:t>
          <w:fldChar w:fldCharType="end"/>
        </w:r>
      </w:hyperlink>
      <w:r/>
    </w:p>
    <w:p w14:paraId="0B9CC6AD">
      <w:pPr>
        <w:pStyle w:val="1103"/>
        <w:pBdr/>
        <w:tabs>
          <w:tab w:val="clear" w:leader="none" w:pos="567"/>
          <w:tab w:val="left" w:leader="none" w:pos="1417"/>
          <w:tab w:val="right" w:leader="dot" w:pos="9355"/>
        </w:tabs>
        <w:spacing/>
        <w:ind/>
        <w:rPr/>
      </w:pPr>
      <w:hyperlink w:tooltip="#_Toc15" w:anchor="_Toc15" w:history="1">
        <w:r>
          <w:rPr>
            <w:rFonts w:ascii="Arial" w:hAnsi="Arial" w:eastAsia="Times New Roman" w:cs="Times New Roman"/>
          </w:rPr>
          <w:t xml:space="preserve">2.1.3.</w:t>
        </w:r>
        <w:r>
          <w:tab/>
        </w:r>
        <w:r>
          <w:rPr>
            <w:rStyle w:val="1148"/>
          </w:rPr>
        </w:r>
        <w:r>
          <w:rPr>
            <w:rStyle w:val="1148"/>
          </w:rPr>
          <w:t xml:space="preserve">VÝPLNĚ OTVORŮ</w:t>
        </w:r>
        <w:r>
          <w:rPr>
            <w:rStyle w:val="1148"/>
          </w:rPr>
          <w:t xml:space="preserve"> </w:t>
        </w:r>
        <w:r>
          <w:rPr>
            <w:rStyle w:val="1148"/>
          </w:rPr>
        </w:r>
        <w:r>
          <w:tab/>
        </w:r>
        <w:r>
          <w:fldChar w:fldCharType="begin"/>
          <w:instrText xml:space="preserve">PAGEREF _Toc15 \h</w:instrText>
          <w:fldChar w:fldCharType="separate"/>
          <w:t xml:space="preserve">17</w:t>
          <w:fldChar w:fldCharType="end"/>
        </w:r>
      </w:hyperlink>
      <w:r/>
    </w:p>
    <w:p w14:paraId="52C25E79">
      <w:pPr>
        <w:pStyle w:val="1103"/>
        <w:pBdr/>
        <w:tabs>
          <w:tab w:val="clear" w:leader="none" w:pos="567"/>
          <w:tab w:val="left" w:leader="none" w:pos="1417"/>
          <w:tab w:val="right" w:leader="dot" w:pos="9355"/>
        </w:tabs>
        <w:spacing/>
        <w:ind/>
        <w:rPr/>
      </w:pPr>
      <w:hyperlink w:tooltip="#_Toc16" w:anchor="_Toc16" w:history="1">
        <w:r>
          <w:rPr>
            <w:rFonts w:ascii="Arial" w:hAnsi="Arial" w:eastAsia="Times New Roman" w:cs="Times New Roman"/>
          </w:rPr>
          <w:t xml:space="preserve">2.1.4.</w:t>
        </w:r>
        <w:r>
          <w:tab/>
        </w:r>
        <w:r>
          <w:rPr>
            <w:rStyle w:val="1148"/>
          </w:rPr>
        </w:r>
        <w:r>
          <w:rPr>
            <w:rStyle w:val="1148"/>
          </w:rPr>
          <w:t xml:space="preserve">VENTILACE DMYCHÁRNY</w:t>
        </w:r>
        <w:r>
          <w:rPr>
            <w:rStyle w:val="1148"/>
          </w:rPr>
        </w:r>
        <w:r>
          <w:tab/>
        </w:r>
        <w:r>
          <w:fldChar w:fldCharType="begin"/>
          <w:instrText xml:space="preserve">PAGEREF _Toc16 \h</w:instrText>
          <w:fldChar w:fldCharType="separate"/>
          <w:t xml:space="preserve">17</w:t>
          <w:fldChar w:fldCharType="end"/>
        </w:r>
      </w:hyperlink>
      <w:r/>
    </w:p>
    <w:p w14:paraId="5C36DF0A">
      <w:pPr>
        <w:pStyle w:val="1102"/>
        <w:pBdr/>
        <w:tabs>
          <w:tab w:val="clear" w:leader="none" w:pos="567"/>
          <w:tab w:val="left" w:leader="none" w:pos="1134"/>
          <w:tab w:val="right" w:leader="dot" w:pos="9355"/>
        </w:tabs>
        <w:spacing/>
        <w:ind/>
        <w:rPr/>
      </w:pPr>
      <w:hyperlink w:tooltip="#_Toc17" w:anchor="_Toc17" w:history="1">
        <w:r>
          <w:rPr>
            <w:rFonts w:ascii="Arial" w:hAnsi="Arial" w:eastAsia="Times New Roman" w:cs="Times New Roman"/>
          </w:rPr>
          <w:t xml:space="preserve">2.2.</w:t>
        </w:r>
        <w:r>
          <w:tab/>
        </w:r>
        <w:r>
          <w:rPr>
            <w:rStyle w:val="1148"/>
          </w:rPr>
        </w:r>
        <w:r>
          <w:rPr>
            <w:rStyle w:val="1148"/>
          </w:rPr>
          <w:t xml:space="preserve">SO 01.3 STAVEBNĚ – KONSTRUKČNÍ ŘEŠENÍ</w:t>
        </w:r>
        <w:r>
          <w:rPr>
            <w:rStyle w:val="1148"/>
          </w:rPr>
        </w:r>
        <w:r>
          <w:tab/>
        </w:r>
        <w:r>
          <w:fldChar w:fldCharType="begin"/>
          <w:instrText xml:space="preserve">PAGEREF _Toc17 \h</w:instrText>
          <w:fldChar w:fldCharType="separate"/>
          <w:t xml:space="preserve">17</w:t>
          <w:fldChar w:fldCharType="end"/>
        </w:r>
      </w:hyperlink>
      <w:r/>
    </w:p>
    <w:p w14:paraId="32DCF978">
      <w:pPr>
        <w:pStyle w:val="1102"/>
        <w:pBdr/>
        <w:tabs>
          <w:tab w:val="clear" w:leader="none" w:pos="567"/>
          <w:tab w:val="left" w:leader="none" w:pos="1134"/>
          <w:tab w:val="right" w:leader="dot" w:pos="9355"/>
        </w:tabs>
        <w:spacing/>
        <w:ind/>
        <w:rPr/>
      </w:pPr>
      <w:hyperlink w:tooltip="#_Toc18" w:anchor="_Toc18" w:history="1">
        <w:r>
          <w:rPr>
            <w:rFonts w:ascii="Arial" w:hAnsi="Arial" w:eastAsia="Times New Roman" w:cs="Times New Roman"/>
          </w:rPr>
          <w:t xml:space="preserve">2.3.</w:t>
        </w:r>
        <w:r>
          <w:tab/>
        </w:r>
        <w:r>
          <w:rPr>
            <w:rStyle w:val="1148"/>
          </w:rPr>
        </w:r>
        <w:r>
          <w:rPr>
            <w:rStyle w:val="1148"/>
          </w:rPr>
          <w:t xml:space="preserve">SO 01.5 – ELEKTRO-STAVEBNÍ ČÁST</w:t>
        </w:r>
        <w:r>
          <w:rPr>
            <w:rStyle w:val="1148"/>
          </w:rPr>
          <w:t xml:space="preserve"> </w:t>
        </w:r>
        <w:r>
          <w:rPr>
            <w:rStyle w:val="1148"/>
          </w:rPr>
        </w:r>
        <w:r>
          <w:tab/>
        </w:r>
        <w:r>
          <w:fldChar w:fldCharType="begin"/>
          <w:instrText xml:space="preserve">PAGEREF _Toc18 \h</w:instrText>
          <w:fldChar w:fldCharType="separate"/>
          <w:t xml:space="preserve">17</w:t>
          <w:fldChar w:fldCharType="end"/>
        </w:r>
      </w:hyperlink>
      <w:r/>
    </w:p>
    <w:p w14:paraId="0EB890C0">
      <w:pPr>
        <w:pStyle w:val="1102"/>
        <w:pBdr/>
        <w:tabs>
          <w:tab w:val="clear" w:leader="none" w:pos="567"/>
          <w:tab w:val="left" w:leader="none" w:pos="1134"/>
          <w:tab w:val="right" w:leader="dot" w:pos="9355"/>
        </w:tabs>
        <w:spacing/>
        <w:ind/>
        <w:rPr/>
      </w:pPr>
      <w:hyperlink w:tooltip="#_Toc19" w:anchor="_Toc19" w:history="1">
        <w:r>
          <w:rPr>
            <w:rFonts w:ascii="Arial" w:hAnsi="Arial" w:eastAsia="Times New Roman" w:cs="Times New Roman"/>
          </w:rPr>
          <w:t xml:space="preserve">2.4.</w:t>
        </w:r>
        <w:r>
          <w:tab/>
        </w:r>
        <w:r>
          <w:rPr>
            <w:rStyle w:val="1148"/>
          </w:rPr>
        </w:r>
        <w:r>
          <w:rPr>
            <w:rStyle w:val="1148"/>
          </w:rPr>
          <w:t xml:space="preserve">PS 01 – STROJNĚ – TECHNOLOGICKÁ ČÁST</w:t>
        </w:r>
        <w:r>
          <w:rPr>
            <w:rStyle w:val="1148"/>
          </w:rPr>
        </w:r>
        <w:r>
          <w:tab/>
        </w:r>
        <w:r>
          <w:fldChar w:fldCharType="begin"/>
          <w:instrText xml:space="preserve">PAGEREF _Toc19 \h</w:instrText>
          <w:fldChar w:fldCharType="separate"/>
          <w:t xml:space="preserve">18</w:t>
          <w:fldChar w:fldCharType="end"/>
        </w:r>
      </w:hyperlink>
      <w:r/>
    </w:p>
    <w:p w14:paraId="0E08B164">
      <w:pPr>
        <w:pStyle w:val="1102"/>
        <w:pBdr/>
        <w:tabs>
          <w:tab w:val="clear" w:leader="none" w:pos="567"/>
          <w:tab w:val="left" w:leader="none" w:pos="1134"/>
          <w:tab w:val="right" w:leader="dot" w:pos="9355"/>
        </w:tabs>
        <w:spacing/>
        <w:ind/>
        <w:rPr/>
      </w:pPr>
      <w:hyperlink w:tooltip="#_Toc20" w:anchor="_Toc20" w:history="1">
        <w:r>
          <w:rPr>
            <w:rFonts w:ascii="Arial" w:hAnsi="Arial" w:eastAsia="Times New Roman" w:cs="Times New Roman"/>
          </w:rPr>
          <w:t xml:space="preserve">2.5.</w:t>
        </w:r>
        <w:r>
          <w:tab/>
        </w:r>
        <w:r>
          <w:rPr>
            <w:rStyle w:val="1148"/>
          </w:rPr>
        </w:r>
        <w:r>
          <w:rPr>
            <w:rStyle w:val="1148"/>
          </w:rPr>
          <w:t xml:space="preserve">PS 02 – ELEKTRO – TECHNOLOGICKÁ ČÁST</w:t>
        </w:r>
        <w:r>
          <w:rPr>
            <w:rStyle w:val="1148"/>
          </w:rPr>
          <w:t xml:space="preserve"> </w:t>
        </w:r>
        <w:r>
          <w:rPr>
            <w:rStyle w:val="1148"/>
          </w:rPr>
        </w:r>
        <w:r>
          <w:tab/>
        </w:r>
        <w:r>
          <w:fldChar w:fldCharType="begin"/>
          <w:instrText xml:space="preserve">PAGEREF _Toc20 \h</w:instrText>
          <w:fldChar w:fldCharType="separate"/>
          <w:t xml:space="preserve">18</w:t>
          <w:fldChar w:fldCharType="end"/>
        </w:r>
      </w:hyperlink>
      <w:r/>
    </w:p>
    <w:p w14:paraId="17D2872E">
      <w:pPr>
        <w:pStyle w:val="1101"/>
        <w:pBdr/>
        <w:tabs>
          <w:tab w:val="left" w:leader="none" w:pos="567"/>
          <w:tab w:val="clear" w:leader="none" w:pos="567"/>
          <w:tab w:val="right" w:leader="dot" w:pos="9355"/>
        </w:tabs>
        <w:spacing/>
        <w:ind/>
        <w:rPr/>
      </w:pPr>
      <w:hyperlink w:tooltip="#_Toc21" w:anchor="_Toc21" w:history="1">
        <w:r>
          <w:rPr>
            <w:rFonts w:ascii="Arial" w:hAnsi="Arial" w:eastAsia="Times New Roman" w:cs="Times New Roman"/>
          </w:rPr>
          <w:t xml:space="preserve">3.</w:t>
        </w:r>
        <w:r>
          <w:tab/>
        </w:r>
        <w:r>
          <w:rPr>
            <w:rStyle w:val="1148"/>
          </w:rPr>
        </w:r>
        <w:r>
          <w:rPr>
            <w:rStyle w:val="1148"/>
          </w:rPr>
          <w:t xml:space="preserve">POŽADAVKY NA POSTUP STAVEBNÍCH A MONTÁŽNÍCH PRACÍ</w:t>
        </w:r>
        <w:r>
          <w:rPr>
            <w:rStyle w:val="1148"/>
          </w:rPr>
        </w:r>
        <w:r>
          <w:tab/>
        </w:r>
        <w:r>
          <w:fldChar w:fldCharType="begin"/>
          <w:instrText xml:space="preserve">PAGEREF _Toc21 \h</w:instrText>
          <w:fldChar w:fldCharType="separate"/>
          <w:t xml:space="preserve">18</w:t>
          <w:fldChar w:fldCharType="end"/>
        </w:r>
      </w:hyperlink>
      <w:r/>
    </w:p>
    <w:p w14:paraId="6AA1AAE6">
      <w:pPr>
        <w:pStyle w:val="1102"/>
        <w:pBdr/>
        <w:tabs>
          <w:tab w:val="clear" w:leader="none" w:pos="567"/>
          <w:tab w:val="left" w:leader="none" w:pos="1134"/>
          <w:tab w:val="right" w:leader="dot" w:pos="9355"/>
        </w:tabs>
        <w:spacing/>
        <w:ind/>
        <w:rPr/>
      </w:pPr>
      <w:hyperlink w:tooltip="#_Toc22" w:anchor="_Toc22" w:history="1">
        <w:r>
          <w:rPr>
            <w:rFonts w:ascii="Arial" w:hAnsi="Arial" w:eastAsia="Times New Roman" w:cs="Times New Roman"/>
          </w:rPr>
          <w:t xml:space="preserve">3.1.</w:t>
        </w:r>
        <w:r>
          <w:tab/>
        </w:r>
        <w:r>
          <w:rPr>
            <w:rStyle w:val="1148"/>
          </w:rPr>
        </w:r>
        <w:r>
          <w:rPr>
            <w:rStyle w:val="1148"/>
          </w:rPr>
          <w:t xml:space="preserve">POPIS PŘÍPRAVNÝCH, SOUVISEJÍCÍCH A DOKONČUJÍCÍCH PRACÍ</w:t>
        </w:r>
        <w:r>
          <w:rPr>
            <w:rStyle w:val="1148"/>
          </w:rPr>
          <w:t xml:space="preserve"> </w:t>
        </w:r>
        <w:r>
          <w:rPr>
            <w:rStyle w:val="1148"/>
          </w:rPr>
        </w:r>
        <w:r>
          <w:tab/>
        </w:r>
        <w:r>
          <w:fldChar w:fldCharType="begin"/>
          <w:instrText xml:space="preserve">PAGEREF _Toc22 \h</w:instrText>
          <w:fldChar w:fldCharType="separate"/>
          <w:t xml:space="preserve">18</w:t>
          <w:fldChar w:fldCharType="end"/>
        </w:r>
      </w:hyperlink>
      <w:r/>
    </w:p>
    <w:p w14:paraId="4A674A6E">
      <w:pPr>
        <w:pStyle w:val="1113"/>
        <w:pBdr/>
        <w:spacing w:line="276" w:lineRule="auto"/>
        <w:ind/>
        <w:rPr/>
      </w:pPr>
      <w:r/>
      <w:r>
        <w:rPr>
          <w:b/>
          <w:bCs/>
        </w:rPr>
        <w:fldChar w:fldCharType="end"/>
      </w:r>
      <w:r/>
      <w:r/>
    </w:p>
    <w:p>
      <w:pPr>
        <w:pStyle w:val="1113"/>
        <w:pBdr/>
        <w:spacing w:line="276" w:lineRule="auto"/>
        <w:ind/>
        <w:rPr/>
      </w:pPr>
      <w:r/>
      <w:r/>
    </w:p>
    <w:p>
      <w:pPr>
        <w:pStyle w:val="1113"/>
        <w:pBdr/>
        <w:spacing w:line="276" w:lineRule="auto"/>
        <w:ind/>
        <w:rPr/>
      </w:pPr>
      <w:r/>
      <w:r/>
    </w:p>
    <w:p>
      <w:pPr>
        <w:pStyle w:val="1113"/>
        <w:pBdr/>
        <w:spacing w:line="276" w:lineRule="auto"/>
        <w:ind/>
        <w:jc w:val="left"/>
        <w:rPr/>
      </w:pPr>
      <w:r/>
      <w:r/>
    </w:p>
    <w:p>
      <w:pPr>
        <w:pStyle w:val="1114"/>
        <w:pBdr/>
        <w:spacing w:after="0" w:line="276" w:lineRule="auto"/>
        <w:ind/>
        <w:rPr/>
      </w:pPr>
      <w:r/>
      <w:bookmarkStart w:id="1" w:name="_Toc1"/>
      <w:r>
        <w:t xml:space="preserve">SO 02 – nová budova čov</w:t>
      </w:r>
      <w:r/>
      <w:bookmarkEnd w:id="1"/>
      <w:r/>
      <w:r/>
    </w:p>
    <w:p w14:paraId="0BD78E4C">
      <w:pPr>
        <w:pStyle w:val="1115"/>
        <w:pBdr/>
        <w:spacing w:after="0" w:before="0" w:line="276" w:lineRule="auto"/>
        <w:ind/>
        <w:rPr/>
      </w:pPr>
      <w:r/>
      <w:bookmarkStart w:id="2" w:name="_Toc2"/>
      <w:r>
        <w:t xml:space="preserve">Koncepce řešení</w:t>
      </w:r>
      <w:r/>
      <w:bookmarkEnd w:id="2"/>
      <w:r/>
      <w:r/>
    </w:p>
    <w:p w14:paraId="4E1780E0">
      <w:pPr>
        <w:pBdr/>
        <w:spacing w:line="276" w:lineRule="auto"/>
        <w:ind/>
        <w:rPr/>
      </w:pPr>
      <w:r>
        <w:tab/>
      </w:r>
      <w:r>
        <w:t xml:space="preserve">M</w:t>
      </w:r>
      <w:r>
        <w:t xml:space="preserve">echanicko-biologická čistírna odpadních vod ve dvoulinkovém uspořádání, je navržena k čištění splaškových odpadních vod z lokality obce Třebotov a Solopisky,  kapacita ČOV činí  2 500 EO  (2x 1 250 EO), odpadní vody na ČOV budou přiváděny výtlačným potrubí</w:t>
      </w:r>
      <w:r>
        <w:t xml:space="preserve">m z kanalizace.  </w:t>
      </w:r>
      <w:r/>
    </w:p>
    <w:p w14:paraId="19BBDC2F">
      <w:pPr>
        <w:pBdr/>
        <w:spacing w:line="276" w:lineRule="auto"/>
        <w:ind/>
        <w:rPr/>
      </w:pPr>
      <w:r>
        <w:tab/>
        <w:t xml:space="preserve">I</w:t>
      </w:r>
      <w:r>
        <w:t xml:space="preserve">ntenzifikace stávající ČOV spočívá ve výstavbě nové dvoulinkové aktivace-nitrifikace s vnořenými separacemi dortmundského typu a chemickým srážením fosforu, novou lisovnou kalu a rekonstrukci stávajících objektů ČOV na dvě linky denitrifikace, dvě kalové n</w:t>
      </w:r>
      <w:r>
        <w:t xml:space="preserve">ádrže (zahušťovací a uskladňovací), nové mechanické předčištění a novou funkci svozové jímky. </w:t>
        <w:tab/>
        <w:t xml:space="preserve">Stávající vystrojení čerpací stanice na odtoku vyhovuje a bude ponecháno bezezměny.</w:t>
      </w:r>
      <w:r/>
    </w:p>
    <w:p w14:paraId="127CDB8B">
      <w:pPr>
        <w:pBdr/>
        <w:spacing w:line="276" w:lineRule="auto"/>
        <w:ind/>
        <w:rPr/>
      </w:pPr>
      <w:r>
        <w:t xml:space="preserve">  </w:t>
      </w:r>
      <w:r/>
    </w:p>
    <w:p w14:paraId="166E2A3B">
      <w:pPr>
        <w:pBdr/>
        <w:spacing w:line="276" w:lineRule="auto"/>
        <w:ind/>
        <w:rPr/>
      </w:pPr>
      <w:r>
        <w:tab/>
        <w:t xml:space="preserve">Navržená technologie mechanicko-biologické čistírny odpadních vod integruje do kompaktního celku veškeré stupně čištění:</w:t>
      </w:r>
      <w:r/>
    </w:p>
    <w:p w14:paraId="09F3551B">
      <w:pPr>
        <w:pStyle w:val="1077"/>
        <w:numPr>
          <w:ilvl w:val="0"/>
          <w:numId w:val="90"/>
        </w:numPr>
        <w:pBdr/>
        <w:spacing w:line="276" w:lineRule="auto"/>
        <w:ind/>
        <w:rPr/>
      </w:pPr>
      <w:r>
        <w:t xml:space="preserve">mechanické předčištění </w:t>
      </w:r>
      <w:r/>
    </w:p>
    <w:p w14:paraId="4951EFAD">
      <w:pPr>
        <w:pStyle w:val="1077"/>
        <w:numPr>
          <w:ilvl w:val="0"/>
          <w:numId w:val="90"/>
        </w:numPr>
        <w:pBdr/>
        <w:spacing w:line="276" w:lineRule="auto"/>
        <w:ind/>
        <w:rPr/>
      </w:pPr>
      <w:r>
        <w:t xml:space="preserve">biologické aktivační čištění s předřazenou denitrifikací</w:t>
      </w:r>
      <w:r/>
    </w:p>
    <w:p w14:paraId="0BBBA396">
      <w:pPr>
        <w:pStyle w:val="1077"/>
        <w:numPr>
          <w:ilvl w:val="0"/>
          <w:numId w:val="90"/>
        </w:numPr>
        <w:pBdr/>
        <w:spacing w:line="276" w:lineRule="auto"/>
        <w:ind/>
        <w:rPr/>
      </w:pPr>
      <w:r>
        <w:t xml:space="preserve">separaci</w:t>
      </w:r>
      <w:r/>
    </w:p>
    <w:p w14:paraId="569C2428">
      <w:pPr>
        <w:pStyle w:val="1077"/>
        <w:numPr>
          <w:ilvl w:val="0"/>
          <w:numId w:val="90"/>
        </w:numPr>
        <w:pBdr/>
        <w:spacing w:line="276" w:lineRule="auto"/>
        <w:ind/>
        <w:rPr/>
      </w:pPr>
      <w:r>
        <w:t xml:space="preserve">aerobní stabilizaci a uskladnění kalu </w:t>
      </w:r>
      <w:r/>
    </w:p>
    <w:p w14:paraId="15A45B91">
      <w:pPr>
        <w:pStyle w:val="1077"/>
        <w:numPr>
          <w:ilvl w:val="0"/>
          <w:numId w:val="90"/>
        </w:numPr>
        <w:pBdr/>
        <w:spacing w:line="276" w:lineRule="auto"/>
        <w:ind/>
        <w:rPr/>
      </w:pPr>
      <w:r>
        <w:t xml:space="preserve">měření množství odpadních vod </w:t>
      </w:r>
      <w:r/>
    </w:p>
    <w:p w14:paraId="09482E94">
      <w:pPr>
        <w:pStyle w:val="1077"/>
        <w:numPr>
          <w:ilvl w:val="0"/>
          <w:numId w:val="90"/>
        </w:numPr>
        <w:pBdr/>
        <w:spacing w:line="276" w:lineRule="auto"/>
        <w:ind/>
        <w:rPr/>
      </w:pPr>
      <w:r>
        <w:t xml:space="preserve">chemické odstraňování fosforu</w:t>
      </w:r>
      <w:r/>
    </w:p>
    <w:p w14:paraId="769320D4">
      <w:pPr>
        <w:pStyle w:val="1077"/>
        <w:numPr>
          <w:ilvl w:val="0"/>
          <w:numId w:val="90"/>
        </w:numPr>
        <w:pBdr/>
        <w:spacing w:line="276" w:lineRule="auto"/>
        <w:ind/>
        <w:rPr/>
      </w:pPr>
      <w:r>
        <w:t xml:space="preserve">zařízení na odvodnění kalu </w:t>
      </w:r>
      <w:r/>
    </w:p>
    <w:p w14:paraId="4BA78F6C">
      <w:pPr>
        <w:pBdr/>
        <w:spacing w:line="276" w:lineRule="auto"/>
        <w:ind w:firstLine="0" w:left="709"/>
        <w:rPr/>
      </w:pPr>
      <w:r>
        <w:rPr>
          <w:highlight w:val="none"/>
        </w:rPr>
      </w:r>
      <w:r>
        <w:rPr>
          <w:highlight w:val="none"/>
        </w:rPr>
      </w:r>
      <w:r/>
    </w:p>
    <w:p w14:paraId="2242DABB">
      <w:pPr>
        <w:pBdr/>
        <w:spacing w:line="276" w:lineRule="auto"/>
        <w:ind/>
        <w:rPr/>
      </w:pPr>
      <w:r>
        <w:t xml:space="preserve">Součástí ČOV je svozová jímka pro svoz splašků z nemovitostí nenapojených na kanalizaci, která nebyla využívána a nebude k tomuto účelu využívána ani v budoucnu. Bude nově použita jako jímka kalových a dekantovaných vod.  </w:t>
      </w:r>
      <w:r/>
    </w:p>
    <w:p w14:paraId="5933B01B">
      <w:pPr>
        <w:pBdr/>
        <w:spacing w:line="276" w:lineRule="auto"/>
        <w:ind/>
        <w:rPr/>
      </w:pPr>
      <w:r/>
      <w:r/>
    </w:p>
    <w:p w14:paraId="346AE99E">
      <w:pPr>
        <w:pBdr/>
        <w:spacing w:line="276" w:lineRule="auto"/>
        <w:ind/>
        <w:rPr>
          <w:highlight w:val="none"/>
        </w:rPr>
      </w:pPr>
      <w:r>
        <w:t xml:space="preserve">T</w:t>
      </w:r>
      <w:r>
        <w:t xml:space="preserve">echnologie nové dvoulinky ČOV bude osazena do nových betonových bazénů zahloubených do terénu, nadzemní část tvoří budova s dmychárnou  (odvětrání budovy a podzemních nádrží je součástí stavby). Část ČOV zahrnující vystrojení dvoulinky denitrifikace, zahuš</w:t>
      </w:r>
      <w:r>
        <w:t xml:space="preserve">ťovací a uskladňovací kalové nádrže, dmychárny, nové mechanické předčištění a sociálního zázemí budou umístěné v původním prostoru ČOV, stávající technologie ČOV bude až na výjimky demontována. </w:t>
      </w:r>
      <w:r>
        <w:rPr>
          <w:highlight w:val="none"/>
        </w:rPr>
      </w:r>
    </w:p>
    <w:p w14:paraId="1BEAC37E">
      <w:pPr>
        <w:pBdr/>
        <w:spacing w:line="276" w:lineRule="auto"/>
        <w:ind/>
        <w:rPr/>
      </w:pPr>
      <w:r>
        <w:rPr>
          <w:highlight w:val="none"/>
        </w:rPr>
      </w:r>
      <w:r>
        <w:rPr>
          <w:highlight w:val="none"/>
        </w:rPr>
      </w:r>
      <w:r/>
    </w:p>
    <w:p w14:paraId="3F6CA5A4">
      <w:pPr>
        <w:pBdr/>
        <w:spacing w:line="276" w:lineRule="auto"/>
        <w:ind/>
        <w:rPr/>
      </w:pPr>
      <w:r>
        <w:t xml:space="preserve">Vedle stávající ČOV bude nově zbudován samostatný nadzemní objekt pro umístění kalové koncovky – šnekového lisu.  </w:t>
      </w:r>
      <w:r/>
    </w:p>
    <w:p w14:paraId="42694C92">
      <w:pPr>
        <w:pBdr/>
        <w:spacing w:line="276" w:lineRule="auto"/>
        <w:ind/>
        <w:rPr/>
      </w:pPr>
      <w:r/>
      <w:r/>
    </w:p>
    <w:p w14:paraId="2CEFD0A3">
      <w:pPr>
        <w:pBdr/>
        <w:spacing w:line="276" w:lineRule="auto"/>
        <w:ind/>
        <w:rPr/>
      </w:pPr>
      <w:r>
        <w:t xml:space="preserve">Funkce biologického čištění Stainless Cleaner je založena na aktivačním principu s využitím jemnobublinné aerace. Aktivace je navržena jako nízkozatížený systém s vysokou hodnotou stáří kalu a aerobní stabilizaci kalu.</w:t>
      </w:r>
      <w:r/>
    </w:p>
    <w:p w14:paraId="61268D1F">
      <w:pPr>
        <w:pBdr/>
        <w:spacing w:line="276" w:lineRule="auto"/>
        <w:ind/>
        <w:rPr/>
      </w:pPr>
      <w:r/>
      <w:r/>
    </w:p>
    <w:p w14:paraId="12D28C16">
      <w:pPr>
        <w:pBdr/>
        <w:spacing w:line="276" w:lineRule="auto"/>
        <w:ind/>
        <w:rPr>
          <w:highlight w:val="none"/>
        </w:rPr>
      </w:pPr>
      <w:r>
        <w:t xml:space="preserve">P</w:t>
      </w:r>
      <w:r>
        <w:t xml:space="preserve">rincip biologického čištění navržené technologie ČOV  je v souladu s požadavky nařízení vlády č. 401/2015 Sb., o ukazatelích a hodnotách přípustného znečištění povrchových vod a odpadních vod, náležitostech povolení k vypouštění odpadních vod do vod povrch</w:t>
      </w:r>
      <w:r>
        <w:t xml:space="preserve">ových a do kanalizací a o citlivých oblastech, v platném znění, definující nejlepší dostupné technologie v oblasti zneškodňování odpadních vod a podmínky jejich použití.</w:t>
      </w:r>
      <w:r>
        <w:rPr>
          <w:highlight w:val="none"/>
        </w:rPr>
      </w:r>
    </w:p>
    <w:p w14:paraId="40125320">
      <w:pPr>
        <w:pStyle w:val="1115"/>
        <w:pBdr/>
        <w:spacing w:after="0" w:before="0" w:line="276" w:lineRule="auto"/>
        <w:ind/>
        <w:rPr/>
      </w:pPr>
      <w:r/>
      <w:bookmarkStart w:id="3" w:name="_Toc3"/>
      <w:r>
        <w:t xml:space="preserve">Popis technologie čov</w:t>
      </w:r>
      <w:r/>
      <w:bookmarkEnd w:id="3"/>
      <w:r/>
      <w:r/>
    </w:p>
    <w:p w14:paraId="5EDF2062">
      <w:pPr>
        <w:pBdr/>
        <w:spacing/>
        <w:ind/>
        <w:rPr>
          <w:b/>
          <w:bCs/>
          <w:u w:val="single"/>
        </w:rPr>
      </w:pPr>
      <w:r>
        <w:rPr>
          <w:b/>
          <w:bCs/>
          <w:u w:val="single"/>
        </w:rPr>
        <w:t xml:space="preserve">Rozměry a objemy nádrží ČOV</w:t>
      </w:r>
      <w:r>
        <w:rPr>
          <w:b/>
          <w:bCs/>
          <w:u w:val="single"/>
        </w:rPr>
      </w:r>
      <w:r>
        <w:rPr>
          <w:b/>
          <w:bCs/>
          <w:u w:val="single"/>
        </w:rPr>
      </w:r>
    </w:p>
    <w:p w14:paraId="6A6A30D4">
      <w:pPr>
        <w:pBdr/>
        <w:spacing w:line="276" w:lineRule="auto"/>
        <w:ind/>
        <w:rPr>
          <w:b/>
          <w:bCs/>
          <w:u w:val="single"/>
        </w:rPr>
      </w:pPr>
      <w:r>
        <w:rPr>
          <w:b/>
          <w:bCs/>
          <w:u w:val="single"/>
        </w:rPr>
        <w:t xml:space="preserve">Celkový vnitřní rozměr podzemní betonové nádrže stávající čistírny odpadních vod </w:t>
      </w:r>
      <w:r>
        <w:rPr>
          <w:b/>
          <w:bCs/>
          <w:u w:val="single"/>
        </w:rPr>
      </w:r>
      <w:r>
        <w:rPr>
          <w:b/>
          <w:bCs/>
          <w:u w:val="single"/>
        </w:rPr>
      </w:r>
    </w:p>
    <w:p w14:paraId="150AA597">
      <w:pPr>
        <w:pBdr/>
        <w:spacing w:line="276" w:lineRule="auto"/>
        <w:ind/>
        <w:rPr/>
      </w:pPr>
      <w:r>
        <w:t xml:space="preserve"> půdorys 12,3 m x 8,5 m</w:t>
      </w:r>
      <w:r/>
    </w:p>
    <w:p w14:paraId="6C15909B">
      <w:pPr>
        <w:pBdr/>
        <w:spacing w:line="276" w:lineRule="auto"/>
        <w:ind/>
        <w:rPr/>
      </w:pPr>
      <w:r>
        <w:t xml:space="preserve">- celková hloubka 5,05 m</w:t>
      </w:r>
      <w:r/>
    </w:p>
    <w:p w14:paraId="4CE5CA6B">
      <w:pPr>
        <w:pBdr/>
        <w:spacing w:line="276" w:lineRule="auto"/>
        <w:ind/>
        <w:rPr/>
      </w:pPr>
      <w:r>
        <w:t xml:space="preserve">- užitná hladina 4,5 m</w:t>
      </w:r>
      <w:r/>
    </w:p>
    <w:p w14:paraId="2E8EEF1C">
      <w:pPr>
        <w:pBdr/>
        <w:spacing w:line="276" w:lineRule="auto"/>
        <w:ind/>
        <w:rPr/>
      </w:pPr>
      <w:r/>
      <w:r/>
    </w:p>
    <w:p w14:paraId="3941F5B6">
      <w:pPr>
        <w:pBdr/>
        <w:spacing w:line="276" w:lineRule="auto"/>
        <w:ind/>
        <w:rPr>
          <w:b/>
          <w:bCs/>
          <w:u w:val="single"/>
        </w:rPr>
      </w:pPr>
      <w:r>
        <w:rPr>
          <w:b/>
          <w:bCs/>
          <w:u w:val="single"/>
        </w:rPr>
        <w:t xml:space="preserve">Celkový vnitřní rozměr podzemní betonové nádrže nové přístavby čistírny odpadních vod </w:t>
      </w:r>
      <w:r>
        <w:rPr>
          <w:b/>
          <w:bCs/>
          <w:u w:val="single"/>
        </w:rPr>
      </w:r>
      <w:r>
        <w:rPr>
          <w:b/>
          <w:bCs/>
          <w:u w:val="single"/>
        </w:rPr>
      </w:r>
    </w:p>
    <w:p w14:paraId="7EEA4BF6">
      <w:pPr>
        <w:pBdr/>
        <w:spacing w:line="276" w:lineRule="auto"/>
        <w:ind/>
        <w:rPr/>
      </w:pPr>
      <w:r>
        <w:t xml:space="preserve"> půdorys 18,3 m x 6,5 m</w:t>
      </w:r>
      <w:r/>
    </w:p>
    <w:p w14:paraId="5EC37BF4">
      <w:pPr>
        <w:pBdr/>
        <w:spacing w:line="276" w:lineRule="auto"/>
        <w:ind/>
        <w:rPr/>
      </w:pPr>
      <w:r>
        <w:t xml:space="preserve">- celková hloubka 6,3 m</w:t>
      </w:r>
      <w:r/>
    </w:p>
    <w:p w14:paraId="48CBDAD1">
      <w:pPr>
        <w:pBdr/>
        <w:spacing w:line="276" w:lineRule="auto"/>
        <w:ind/>
        <w:rPr/>
      </w:pPr>
      <w:r>
        <w:t xml:space="preserve">- užitná hladina 5,5 m</w:t>
      </w:r>
      <w:r/>
    </w:p>
    <w:p w14:paraId="1CF6B015">
      <w:pPr>
        <w:pBdr/>
        <w:spacing w:line="276" w:lineRule="auto"/>
        <w:ind/>
        <w:rPr/>
      </w:pPr>
      <w:r/>
      <w:r/>
    </w:p>
    <w:p w14:paraId="700B8948">
      <w:pPr>
        <w:pBdr/>
        <w:spacing w:line="276" w:lineRule="auto"/>
        <w:ind/>
        <w:rPr>
          <w:b/>
          <w:bCs/>
          <w:u w:val="single"/>
        </w:rPr>
      </w:pPr>
      <w:r>
        <w:rPr>
          <w:b/>
          <w:bCs/>
          <w:u w:val="single"/>
        </w:rPr>
        <w:t xml:space="preserve">Vnitřní rozměr budovy lisovny kalu - samostatný objekt  </w:t>
      </w:r>
      <w:r>
        <w:rPr>
          <w:b/>
          <w:bCs/>
          <w:u w:val="single"/>
        </w:rPr>
      </w:r>
      <w:r>
        <w:rPr>
          <w:b/>
          <w:bCs/>
          <w:u w:val="single"/>
        </w:rPr>
      </w:r>
    </w:p>
    <w:p w14:paraId="30523E11">
      <w:pPr>
        <w:pBdr/>
        <w:spacing w:line="276" w:lineRule="auto"/>
        <w:ind/>
        <w:rPr/>
      </w:pPr>
      <w:r>
        <w:t xml:space="preserve">- půdorys 6,0 m x 3,5 m</w:t>
      </w:r>
      <w:r/>
    </w:p>
    <w:p w14:paraId="0ACD08E4">
      <w:pPr>
        <w:pBdr/>
        <w:spacing w:line="276" w:lineRule="auto"/>
        <w:ind/>
        <w:rPr/>
      </w:pPr>
      <w:r/>
      <w:r/>
    </w:p>
    <w:p w14:paraId="36D54518">
      <w:pPr>
        <w:pBdr/>
        <w:spacing w:line="276" w:lineRule="auto"/>
        <w:ind/>
        <w:rPr>
          <w:b/>
          <w:bCs/>
          <w:u w:val="single"/>
        </w:rPr>
      </w:pPr>
      <w:r>
        <w:rPr>
          <w:b/>
          <w:bCs/>
          <w:u w:val="single"/>
        </w:rPr>
        <w:t xml:space="preserve">Užitný objem nádrží technologie  </w:t>
      </w:r>
      <w:r>
        <w:rPr>
          <w:b/>
          <w:bCs/>
          <w:u w:val="single"/>
        </w:rPr>
      </w:r>
      <w:r>
        <w:rPr>
          <w:b/>
          <w:bCs/>
          <w:u w:val="single"/>
        </w:rPr>
      </w:r>
    </w:p>
    <w:p w14:paraId="19E8424B">
      <w:pPr>
        <w:pBdr/>
        <w:spacing w:line="276" w:lineRule="auto"/>
        <w:ind/>
        <w:rPr/>
      </w:pPr>
      <w:r>
        <w:t xml:space="preserve">Aktivace -  nitrifikace</w:t>
        <w:tab/>
        <w:tab/>
        <w:t xml:space="preserve">643 m3</w:t>
      </w:r>
      <w:r/>
    </w:p>
    <w:p w14:paraId="15845575">
      <w:pPr>
        <w:pBdr/>
        <w:spacing w:line="276" w:lineRule="auto"/>
        <w:ind/>
        <w:rPr/>
      </w:pPr>
      <w:r>
        <w:t xml:space="preserve">                - denitrifikace         216 m3</w:t>
      </w:r>
      <w:r/>
    </w:p>
    <w:p w14:paraId="72C344FD">
      <w:pPr>
        <w:pBdr/>
        <w:spacing w:line="276" w:lineRule="auto"/>
        <w:ind/>
        <w:rPr/>
      </w:pPr>
      <w:r>
        <w:t xml:space="preserve">Separace </w:t>
        <w:tab/>
        <w:tab/>
        <w:t xml:space="preserve">    </w:t>
        <w:tab/>
        <w:t xml:space="preserve"> </w:t>
        <w:tab/>
        <w:t xml:space="preserve">  48 m2 </w:t>
      </w:r>
      <w:r/>
    </w:p>
    <w:p w14:paraId="7583DF25">
      <w:pPr>
        <w:pBdr/>
        <w:spacing w:line="276" w:lineRule="auto"/>
        <w:ind/>
        <w:rPr/>
      </w:pPr>
      <w:r>
        <w:t xml:space="preserve">Zahušťovací kalová nádrž</w:t>
        <w:tab/>
        <w:t xml:space="preserve">  86 m3</w:t>
      </w:r>
      <w:r/>
    </w:p>
    <w:p w14:paraId="1985DA3D">
      <w:pPr>
        <w:pBdr/>
        <w:spacing w:line="276" w:lineRule="auto"/>
        <w:ind/>
        <w:rPr/>
      </w:pPr>
      <w:r>
        <w:t xml:space="preserve">Uskladňovací kalová nádrž     95 m3</w:t>
      </w:r>
      <w:r/>
    </w:p>
    <w:p w14:paraId="4F797046">
      <w:pPr>
        <w:pBdr/>
        <w:spacing w:line="276" w:lineRule="auto"/>
        <w:ind/>
        <w:rPr/>
      </w:pPr>
      <w:r>
        <w:t xml:space="preserve">Svozová jímka </w:t>
        <w:tab/>
        <w:tab/>
        <w:tab/>
        <w:t xml:space="preserve">  27 m3</w:t>
      </w:r>
      <w:r/>
    </w:p>
    <w:p w14:paraId="0154A3AF">
      <w:pPr>
        <w:pBdr/>
        <w:spacing w:line="276" w:lineRule="auto"/>
        <w:ind/>
        <w:rPr/>
      </w:pPr>
      <w:r>
        <w:t xml:space="preserve">Čerpací stanice</w:t>
        <w:tab/>
        <w:tab/>
        <w:t xml:space="preserve"> </w:t>
        <w:tab/>
        <w:t xml:space="preserve">  19 m3 </w:t>
      </w:r>
      <w:r/>
    </w:p>
    <w:p w14:paraId="4CCFF887">
      <w:pPr>
        <w:pBdr/>
        <w:spacing w:line="276" w:lineRule="auto"/>
        <w:ind/>
        <w:rPr/>
      </w:pPr>
      <w:r/>
      <w:r/>
    </w:p>
    <w:p w14:paraId="6D9CE85E">
      <w:pPr>
        <w:pBdr/>
        <w:spacing w:line="276" w:lineRule="auto"/>
        <w:ind/>
        <w:rPr>
          <w:b/>
          <w:bCs/>
          <w:u w:val="single"/>
        </w:rPr>
      </w:pPr>
      <w:r>
        <w:rPr>
          <w:b/>
          <w:bCs/>
          <w:u w:val="single"/>
        </w:rPr>
        <w:t xml:space="preserve">Skladba objektů technologie</w:t>
      </w:r>
      <w:r>
        <w:rPr>
          <w:b/>
          <w:bCs/>
          <w:u w:val="single"/>
        </w:rPr>
      </w:r>
      <w:r>
        <w:rPr>
          <w:b/>
          <w:bCs/>
          <w:u w:val="single"/>
        </w:rPr>
      </w:r>
    </w:p>
    <w:p w14:paraId="60AB40C1">
      <w:pPr>
        <w:pBdr/>
        <w:spacing w:line="276" w:lineRule="auto"/>
        <w:ind/>
        <w:rPr>
          <w:b/>
          <w:bCs/>
          <w:u w:val="single"/>
        </w:rPr>
      </w:pPr>
      <w:r>
        <w:rPr>
          <w:b/>
          <w:bCs/>
          <w:u w:val="single"/>
        </w:rPr>
        <w:t xml:space="preserve">Rotační bubnové síto s integrovaným lisem na shrabky</w:t>
      </w:r>
      <w:r>
        <w:rPr>
          <w:b/>
          <w:bCs/>
          <w:u w:val="single"/>
        </w:rPr>
      </w:r>
      <w:r>
        <w:rPr>
          <w:b/>
          <w:bCs/>
          <w:u w:val="single"/>
        </w:rPr>
      </w:r>
    </w:p>
    <w:p w14:paraId="39911F69">
      <w:pPr>
        <w:pBdr/>
        <w:spacing w:line="276" w:lineRule="auto"/>
        <w:ind/>
        <w:rPr/>
      </w:pPr>
      <w:r>
        <w:tab/>
        <w:t xml:space="preserve">- rotační bubnové síto a s proplachem shrabků a lisem na shrabky </w:t>
      </w:r>
      <w:r/>
    </w:p>
    <w:p w14:paraId="1D792788">
      <w:pPr>
        <w:pBdr/>
        <w:spacing w:line="276" w:lineRule="auto"/>
        <w:ind/>
        <w:rPr/>
      </w:pPr>
      <w:r>
        <w:tab/>
        <w:t xml:space="preserve">- obtok RBS </w:t>
      </w:r>
      <w:r/>
    </w:p>
    <w:p w14:paraId="6B4E8947">
      <w:pPr>
        <w:pBdr/>
        <w:spacing w:line="276" w:lineRule="auto"/>
        <w:ind/>
        <w:rPr>
          <w:b/>
          <w:bCs/>
          <w:u w:val="single"/>
        </w:rPr>
      </w:pPr>
      <w:r>
        <w:rPr>
          <w:b/>
          <w:bCs/>
          <w:u w:val="single"/>
        </w:rPr>
        <w:t xml:space="preserve">Biologický reaktor  </w:t>
      </w:r>
      <w:r>
        <w:rPr>
          <w:b/>
          <w:bCs/>
          <w:u w:val="single"/>
        </w:rPr>
      </w:r>
      <w:r>
        <w:rPr>
          <w:b/>
          <w:bCs/>
          <w:u w:val="single"/>
        </w:rPr>
      </w:r>
    </w:p>
    <w:p w14:paraId="3023501D">
      <w:pPr>
        <w:pStyle w:val="1077"/>
        <w:numPr>
          <w:ilvl w:val="0"/>
          <w:numId w:val="92"/>
        </w:numPr>
        <w:pBdr/>
        <w:spacing w:line="276" w:lineRule="auto"/>
        <w:ind/>
        <w:rPr/>
      </w:pPr>
      <w:r>
        <w:t xml:space="preserve">aktivační nádrž systém D-N:</w:t>
      </w:r>
      <w:r/>
    </w:p>
    <w:p w14:paraId="66B12A7B">
      <w:pPr>
        <w:pStyle w:val="1077"/>
        <w:numPr>
          <w:ilvl w:val="0"/>
          <w:numId w:val="92"/>
        </w:numPr>
        <w:pBdr/>
        <w:spacing w:line="276" w:lineRule="auto"/>
        <w:ind/>
        <w:rPr/>
      </w:pPr>
      <w:r>
        <w:t xml:space="preserve">dvě linky nitrifikace s aeračním systémem s předřazenou denitrifikaci vybavenou  aeraci a ponorným vrtulovým míchadlem</w:t>
      </w:r>
      <w:r/>
    </w:p>
    <w:p w14:paraId="1D952C96">
      <w:pPr>
        <w:pStyle w:val="1077"/>
        <w:numPr>
          <w:ilvl w:val="0"/>
          <w:numId w:val="92"/>
        </w:numPr>
        <w:pBdr/>
        <w:spacing w:line="276" w:lineRule="auto"/>
        <w:ind/>
        <w:rPr/>
      </w:pPr>
      <w:r>
        <w:t xml:space="preserve">stahování plovoucích nečistot z hladin aktivací</w:t>
      </w:r>
      <w:r/>
    </w:p>
    <w:p w14:paraId="0A3B2BE2">
      <w:pPr>
        <w:pStyle w:val="1077"/>
        <w:numPr>
          <w:ilvl w:val="0"/>
          <w:numId w:val="92"/>
        </w:numPr>
        <w:pBdr/>
        <w:spacing w:line="276" w:lineRule="auto"/>
        <w:ind/>
        <w:rPr/>
      </w:pPr>
      <w:r>
        <w:t xml:space="preserve">vnořené dosazovací nádrže dortmundského typu</w:t>
      </w:r>
      <w:r/>
    </w:p>
    <w:p w14:paraId="4330E4A9">
      <w:pPr>
        <w:pStyle w:val="1077"/>
        <w:numPr>
          <w:ilvl w:val="0"/>
          <w:numId w:val="92"/>
        </w:numPr>
        <w:pBdr/>
        <w:spacing w:line="276" w:lineRule="auto"/>
        <w:ind/>
        <w:rPr/>
      </w:pPr>
      <w:r>
        <w:t xml:space="preserve">dmychadla  </w:t>
      </w:r>
      <w:r/>
    </w:p>
    <w:p w14:paraId="66EBF85F">
      <w:pPr>
        <w:pStyle w:val="1077"/>
        <w:numPr>
          <w:ilvl w:val="0"/>
          <w:numId w:val="92"/>
        </w:numPr>
        <w:pBdr/>
        <w:spacing w:line="276" w:lineRule="auto"/>
        <w:ind/>
        <w:rPr/>
      </w:pPr>
      <w:r>
        <w:t xml:space="preserve">otočné zvedací zařízení s ručním navijákem</w:t>
      </w:r>
      <w:r/>
    </w:p>
    <w:p w14:paraId="39EBC238">
      <w:pPr>
        <w:pStyle w:val="1077"/>
        <w:numPr>
          <w:ilvl w:val="0"/>
          <w:numId w:val="92"/>
        </w:numPr>
        <w:pBdr/>
        <w:spacing w:line="276" w:lineRule="auto"/>
        <w:ind/>
        <w:rPr/>
      </w:pPr>
      <w:r>
        <w:t xml:space="preserve">vnější a vnitřní recirkulace kalu čerpadly</w:t>
      </w:r>
      <w:r/>
    </w:p>
    <w:p w14:paraId="6FF60061">
      <w:pPr>
        <w:pStyle w:val="1077"/>
        <w:numPr>
          <w:ilvl w:val="0"/>
          <w:numId w:val="92"/>
        </w:numPr>
        <w:pBdr/>
        <w:spacing w:line="276" w:lineRule="auto"/>
        <w:ind/>
        <w:rPr/>
      </w:pPr>
      <w:r>
        <w:t xml:space="preserve">chemické srážení fosforu simultánním srážením</w:t>
      </w:r>
      <w:r/>
    </w:p>
    <w:p w14:paraId="3B8DE3DB">
      <w:pPr>
        <w:pBdr/>
        <w:spacing/>
        <w:ind/>
        <w:rPr>
          <w:b/>
          <w:bCs/>
          <w:u w:val="single"/>
        </w:rPr>
      </w:pPr>
      <w:r>
        <w:rPr>
          <w:b/>
          <w:bCs/>
          <w:u w:val="single"/>
        </w:rPr>
      </w:r>
      <w:r>
        <w:rPr>
          <w:b/>
          <w:bCs/>
          <w:u w:val="single"/>
        </w:rPr>
      </w:r>
      <w:r>
        <w:rPr>
          <w:b/>
          <w:bCs/>
          <w:u w:val="single"/>
        </w:rPr>
      </w:r>
    </w:p>
    <w:p w14:paraId="0B9088BF">
      <w:pPr>
        <w:pBdr/>
        <w:spacing/>
        <w:ind/>
        <w:rPr>
          <w:b/>
          <w:bCs/>
          <w:u w:val="single"/>
        </w:rPr>
      </w:pPr>
      <w:r>
        <w:rPr>
          <w:b/>
          <w:bCs/>
          <w:u w:val="single"/>
        </w:rPr>
        <w:t xml:space="preserve">Čerpací jímka na odtoku </w:t>
      </w:r>
      <w:r>
        <w:rPr>
          <w:b/>
          <w:bCs/>
          <w:u w:val="single"/>
        </w:rPr>
      </w:r>
      <w:r>
        <w:rPr>
          <w:b/>
          <w:bCs/>
          <w:u w:val="single"/>
        </w:rPr>
      </w:r>
    </w:p>
    <w:p w14:paraId="4A0973F4">
      <w:pPr>
        <w:pBdr/>
        <w:spacing w:line="276" w:lineRule="auto"/>
        <w:ind/>
        <w:rPr/>
      </w:pPr>
      <w:r>
        <w:tab/>
        <w:t xml:space="preserve">- čerpadla </w:t>
      </w:r>
      <w:r/>
    </w:p>
    <w:p w14:paraId="476C190D">
      <w:pPr>
        <w:pBdr/>
        <w:spacing w:line="276" w:lineRule="auto"/>
        <w:ind/>
        <w:rPr/>
      </w:pPr>
      <w:r>
        <w:tab/>
        <w:t xml:space="preserve">- akumulace vyčištěných vod </w:t>
      </w:r>
      <w:r/>
    </w:p>
    <w:p w14:paraId="7355BBFC">
      <w:pPr>
        <w:pBdr/>
        <w:spacing/>
        <w:ind/>
        <w:rPr/>
      </w:pPr>
      <w:r>
        <w:tab/>
        <w:t xml:space="preserve"> </w:t>
      </w:r>
      <w:r/>
    </w:p>
    <w:p w14:paraId="4C0326F0">
      <w:pPr>
        <w:pBdr/>
        <w:spacing/>
        <w:ind/>
        <w:rPr/>
      </w:pPr>
      <w:r/>
      <w:r/>
    </w:p>
    <w:p w14:paraId="534782D8">
      <w:pPr>
        <w:pBdr/>
        <w:spacing w:line="276" w:lineRule="auto"/>
        <w:ind/>
        <w:rPr>
          <w:b/>
          <w:bCs/>
          <w:u w:val="single"/>
        </w:rPr>
      </w:pPr>
      <w:r>
        <w:rPr>
          <w:b/>
          <w:bCs/>
          <w:u w:val="single"/>
        </w:rPr>
        <w:t xml:space="preserve">Svozová jímka fekálních vod, nově ve funkci jímky kalové vody</w:t>
        <w:tab/>
        <w:t xml:space="preserve">  </w:t>
      </w:r>
      <w:r>
        <w:rPr>
          <w:b/>
          <w:bCs/>
          <w:u w:val="single"/>
        </w:rPr>
      </w:r>
      <w:r>
        <w:rPr>
          <w:b/>
          <w:bCs/>
          <w:u w:val="single"/>
        </w:rPr>
      </w:r>
    </w:p>
    <w:p w14:paraId="110DA21C">
      <w:pPr>
        <w:pBdr/>
        <w:spacing w:line="276" w:lineRule="auto"/>
        <w:ind/>
        <w:rPr/>
      </w:pPr>
      <w:r>
        <w:tab/>
        <w:t xml:space="preserve">- kalové čerpadlo </w:t>
      </w:r>
      <w:r/>
    </w:p>
    <w:p w14:paraId="58108534">
      <w:pPr>
        <w:pBdr/>
        <w:spacing w:line="276" w:lineRule="auto"/>
        <w:ind/>
        <w:rPr/>
      </w:pPr>
      <w:r>
        <w:tab/>
        <w:t xml:space="preserve">- otočné zvedací zařízení s ručním navijákem </w:t>
      </w:r>
      <w:r/>
    </w:p>
    <w:p w14:paraId="6BCAFA45">
      <w:pPr>
        <w:pBdr/>
        <w:spacing w:line="276" w:lineRule="auto"/>
        <w:ind/>
        <w:rPr/>
      </w:pPr>
      <w:r>
        <w:tab/>
      </w:r>
      <w:r/>
    </w:p>
    <w:p w14:paraId="7961181E">
      <w:pPr>
        <w:pBdr/>
        <w:spacing w:line="276" w:lineRule="auto"/>
        <w:ind/>
        <w:rPr>
          <w:b/>
          <w:bCs/>
          <w:u w:val="single"/>
        </w:rPr>
      </w:pPr>
      <w:r>
        <w:rPr>
          <w:b/>
          <w:bCs/>
          <w:u w:val="single"/>
        </w:rPr>
        <w:t xml:space="preserve">Kalové hospodářství</w:t>
      </w:r>
      <w:r>
        <w:rPr>
          <w:b/>
          <w:bCs/>
          <w:u w:val="single"/>
        </w:rPr>
      </w:r>
      <w:r>
        <w:rPr>
          <w:b/>
          <w:bCs/>
          <w:u w:val="single"/>
        </w:rPr>
      </w:r>
    </w:p>
    <w:p w14:paraId="2F865596">
      <w:pPr>
        <w:pStyle w:val="1077"/>
        <w:numPr>
          <w:ilvl w:val="0"/>
          <w:numId w:val="93"/>
        </w:numPr>
        <w:pBdr/>
        <w:spacing w:line="276" w:lineRule="auto"/>
        <w:ind/>
        <w:rPr/>
      </w:pPr>
      <w:r>
        <w:t xml:space="preserve">- zahuštění a aerobní stabilizace kalu </w:t>
      </w:r>
      <w:r/>
    </w:p>
    <w:p w14:paraId="316676CF">
      <w:pPr>
        <w:pStyle w:val="1077"/>
        <w:numPr>
          <w:ilvl w:val="0"/>
          <w:numId w:val="93"/>
        </w:numPr>
        <w:pBdr/>
        <w:spacing w:line="276" w:lineRule="auto"/>
        <w:ind/>
        <w:rPr/>
      </w:pPr>
      <w:r>
        <w:t xml:space="preserve">zahušťovací kalová nádrž</w:t>
      </w:r>
      <w:r/>
    </w:p>
    <w:p w14:paraId="122F6919">
      <w:pPr>
        <w:pStyle w:val="1077"/>
        <w:numPr>
          <w:ilvl w:val="0"/>
          <w:numId w:val="93"/>
        </w:numPr>
        <w:pBdr/>
        <w:spacing w:line="276" w:lineRule="auto"/>
        <w:ind/>
        <w:rPr/>
      </w:pPr>
      <w:r>
        <w:t xml:space="preserve">uskladňovací kalová nádrž</w:t>
      </w:r>
      <w:r/>
    </w:p>
    <w:p w14:paraId="4E43E3DA">
      <w:pPr>
        <w:pStyle w:val="1077"/>
        <w:numPr>
          <w:ilvl w:val="0"/>
          <w:numId w:val="93"/>
        </w:numPr>
        <w:pBdr/>
        <w:spacing w:line="276" w:lineRule="auto"/>
        <w:ind/>
        <w:rPr/>
      </w:pPr>
      <w:r>
        <w:t xml:space="preserve">zařízení na odvodnění kalu – šnekový lis</w:t>
      </w:r>
      <w:r/>
    </w:p>
    <w:p w14:paraId="07A449B7">
      <w:pPr>
        <w:pBdr/>
        <w:spacing w:line="276" w:lineRule="auto"/>
        <w:ind/>
        <w:rPr>
          <w:b/>
          <w:bCs/>
          <w:u w:val="single"/>
        </w:rPr>
      </w:pPr>
      <w:r>
        <w:rPr>
          <w:b/>
          <w:bCs/>
          <w:u w:val="single"/>
        </w:rPr>
      </w:r>
      <w:r>
        <w:rPr>
          <w:b/>
          <w:bCs/>
          <w:u w:val="single"/>
        </w:rPr>
      </w:r>
      <w:r>
        <w:rPr>
          <w:b/>
          <w:bCs/>
          <w:u w:val="single"/>
        </w:rPr>
      </w:r>
    </w:p>
    <w:p w14:paraId="06AEA09E">
      <w:pPr>
        <w:pBdr/>
        <w:spacing w:line="276" w:lineRule="auto"/>
        <w:ind/>
        <w:rPr>
          <w:b/>
          <w:bCs/>
          <w:u w:val="single"/>
        </w:rPr>
      </w:pPr>
      <w:r>
        <w:rPr>
          <w:b/>
          <w:bCs/>
          <w:u w:val="single"/>
        </w:rPr>
        <w:t xml:space="preserve">Technologická elektroinstalace, MaR </w:t>
      </w:r>
      <w:r>
        <w:rPr>
          <w:b/>
          <w:bCs/>
          <w:u w:val="single"/>
        </w:rPr>
      </w:r>
      <w:r>
        <w:rPr>
          <w:b/>
          <w:bCs/>
          <w:u w:val="single"/>
        </w:rPr>
      </w:r>
    </w:p>
    <w:p w14:paraId="7FB557A4">
      <w:pPr>
        <w:pBdr/>
        <w:spacing w:line="276" w:lineRule="auto"/>
        <w:ind/>
        <w:rPr/>
      </w:pPr>
      <w:r>
        <w:t xml:space="preserve">-  samostatný provozní soubor </w:t>
        <w:tab/>
      </w:r>
      <w:r/>
    </w:p>
    <w:p w14:paraId="2850A267">
      <w:pPr>
        <w:pBdr/>
        <w:spacing/>
        <w:ind/>
        <w:rPr/>
      </w:pPr>
      <w:r/>
      <w:r/>
    </w:p>
    <w:p w14:paraId="78A08B73">
      <w:pPr>
        <w:pBdr/>
        <w:spacing w:line="276" w:lineRule="auto"/>
        <w:ind/>
        <w:rPr/>
      </w:pPr>
      <w:r>
        <w:t xml:space="preserve">Odpadní splaškové vody z kanalizačního systémy jsou přivedené výtlakem na mechanické předčištění - rotační bubnové síto s proplachem shrabků a lisem na shrabky.  </w:t>
      </w:r>
      <w:r/>
    </w:p>
    <w:p w14:paraId="3F241289">
      <w:pPr>
        <w:pBdr/>
        <w:spacing w:line="276" w:lineRule="auto"/>
        <w:ind/>
        <w:rPr>
          <w:b/>
          <w:bCs/>
          <w:u w:val="single"/>
        </w:rPr>
      </w:pPr>
      <w:r>
        <w:rPr>
          <w:b/>
          <w:bCs/>
          <w:highlight w:val="none"/>
          <w:u w:val="single"/>
        </w:rPr>
      </w:r>
      <w:r>
        <w:rPr>
          <w:b/>
          <w:bCs/>
          <w:highlight w:val="none"/>
          <w:u w:val="single"/>
        </w:rPr>
      </w:r>
      <w:r>
        <w:rPr>
          <w:b/>
          <w:bCs/>
          <w:u w:val="single"/>
        </w:rPr>
      </w:r>
    </w:p>
    <w:p w14:paraId="69C1ECDC">
      <w:pPr>
        <w:pBdr/>
        <w:spacing w:line="276" w:lineRule="auto"/>
        <w:ind/>
        <w:rPr>
          <w:b/>
          <w:bCs/>
          <w:highlight w:val="none"/>
          <w:u w:val="single"/>
        </w:rPr>
      </w:pPr>
      <w:r>
        <w:rPr>
          <w:b/>
          <w:bCs/>
          <w:u w:val="single"/>
        </w:rPr>
        <w:t xml:space="preserve">POPIS TECHNOLOGIE </w:t>
      </w:r>
      <w:r>
        <w:rPr>
          <w:b/>
          <w:bCs/>
          <w:highlight w:val="none"/>
          <w:u w:val="single"/>
        </w:rPr>
      </w:r>
      <w:r>
        <w:rPr>
          <w:b/>
          <w:bCs/>
          <w:highlight w:val="none"/>
          <w:u w:val="single"/>
        </w:rPr>
      </w:r>
    </w:p>
    <w:p w14:paraId="4030C71A">
      <w:pPr>
        <w:pBdr/>
        <w:spacing w:line="276" w:lineRule="auto"/>
        <w:ind/>
        <w:rPr/>
      </w:pPr>
      <w:r>
        <w:tab/>
        <w:t xml:space="preserve">Mechanicky předčištěná voda natéká přes rozdělovací objekt do dvou denitrifikačních nádrží biologického reaktoru, vybavených ponornými míchadly a jemnobublinnými aeračními systémy. </w:t>
      </w:r>
      <w:r/>
    </w:p>
    <w:p w14:paraId="4D3F3371">
      <w:pPr>
        <w:pBdr/>
        <w:spacing w:line="276" w:lineRule="auto"/>
        <w:ind/>
        <w:rPr/>
      </w:pPr>
      <w:r>
        <w:tab/>
        <w:t xml:space="preserve">V</w:t>
      </w:r>
      <w:r>
        <w:t xml:space="preserve"> denitrifikačním prostoru dochází k biologickému odstraňování dusíku z odpadní vody tím způsobem, že za anoxických podmínek směsná bakteriální populace aktivovaného kalu využívá chemicky vázaný kyslík v dusičnanech jako konečný akceptor elektronů v procesu</w:t>
      </w:r>
      <w:r>
        <w:t xml:space="preserve"> nitrátové respirace. Dusičnany jsou redukovány na plynný molekulární dusík, který je vymícháván do atmosféry.</w:t>
      </w:r>
      <w:r/>
    </w:p>
    <w:p w14:paraId="0F044704">
      <w:pPr>
        <w:pBdr/>
        <w:spacing w:line="276" w:lineRule="auto"/>
        <w:ind/>
        <w:rPr/>
      </w:pPr>
      <w:r>
        <w:tab/>
        <w:t xml:space="preserve">P</w:t>
      </w:r>
      <w:r>
        <w:t xml:space="preserve">odmínkou pro úspěšný průběh nitrátové respirace je nepřítomnost rozpuštěného vzdušného kyslíku, přítomnost dusičnanových aniontů a zdroje organického uhlíku v přitékající odpadní vodě. Kombinace denitrifikace v samostatné anoxické zóně a dynamické nitrifik</w:t>
      </w:r>
      <w:r>
        <w:t xml:space="preserve">ace zajištěné přerušovaným provzdušňováním zaručuje vysoký stupeň odstranění dusíkatého znečištění z odpadní vody.  </w:t>
      </w:r>
      <w:r/>
    </w:p>
    <w:p w14:paraId="7E660178">
      <w:pPr>
        <w:pBdr/>
        <w:spacing w:line="276" w:lineRule="auto"/>
        <w:ind/>
        <w:rPr/>
      </w:pPr>
      <w:r>
        <w:tab/>
        <w:t xml:space="preserve">S</w:t>
      </w:r>
      <w:r>
        <w:t xml:space="preserve">měs odpadní vody a aktivovaného kalu je z denitrifikačních nádrží přiváděna gravitačně do obou aktivačně-nitrifikačních částí biologického reaktoru. Z nitrifikačních nádrží je část aktivované směsi čerpána zpět do denitrifikací (vnitřní recirkulace kalu). </w:t>
      </w:r>
      <w:r>
        <w:t xml:space="preserve">  </w:t>
      </w:r>
      <w:r/>
    </w:p>
    <w:p w14:paraId="2AF4E3B7">
      <w:pPr>
        <w:pBdr/>
        <w:spacing w:line="276" w:lineRule="auto"/>
        <w:ind/>
        <w:rPr/>
      </w:pPr>
      <w:r>
        <w:tab/>
        <w:t xml:space="preserve">V</w:t>
      </w:r>
      <w:r>
        <w:t xml:space="preserve"> aktivačních nádržích, které jsou provzdušňovány, dochází k biologickému odstraňování organického znečištění z odpadní vody. Organické látky jsou oxidovány na oxid uhličitý a vodu a částečně je organický uhlík využíván k růstu biomasy aktivovaného kalu.   </w:t>
      </w:r>
      <w:r>
        <w:t xml:space="preserve">                          </w:t>
      </w:r>
      <w:r/>
    </w:p>
    <w:p w14:paraId="0B3B76BF">
      <w:pPr>
        <w:pBdr/>
        <w:spacing w:line="276" w:lineRule="auto"/>
        <w:ind/>
        <w:rPr/>
      </w:pPr>
      <w:r>
        <w:tab/>
        <w:t xml:space="preserve">V aktivačním systému jsou přítomné ionty amoniakálního dusíku NH4+ oxidovány na dusičnany. Podmínkou pro úspěšný průběh těchto pochodů je zajištění parametrů nízkozatížené aktivace s aerobní stabilizací kalu. </w:t>
      </w:r>
      <w:r/>
    </w:p>
    <w:p w14:paraId="16F81D40">
      <w:pPr>
        <w:pBdr/>
        <w:spacing w:line="276" w:lineRule="auto"/>
        <w:ind/>
        <w:rPr/>
      </w:pPr>
      <w:r/>
      <w:r/>
    </w:p>
    <w:p w14:paraId="24C8BD1F">
      <w:pPr>
        <w:pBdr/>
        <w:spacing w:line="276" w:lineRule="auto"/>
        <w:ind/>
        <w:rPr/>
      </w:pPr>
      <w:r>
        <w:tab/>
        <w:t xml:space="preserve">V</w:t>
      </w:r>
      <w:r>
        <w:t xml:space="preserve">yčištěná odpadní voda je oddělována od aktivovaného kalu v kuželových dosazovacích nádržích dortmundského typu, umístěných v aktivačních nádržích a odváděna odtokovými ponornými trubkami do čerpací jímky, která současně slouží jako akumulační nádrž vyčiště</w:t>
      </w:r>
      <w:r>
        <w:t xml:space="preserve">né vody. Z čerpací jímky je voda čerpána do recipientu. </w:t>
      </w:r>
      <w:r/>
    </w:p>
    <w:p w14:paraId="245EF82C">
      <w:pPr>
        <w:pBdr/>
        <w:spacing w:line="276" w:lineRule="auto"/>
        <w:ind/>
        <w:rPr/>
      </w:pPr>
      <w:r>
        <w:t xml:space="preserve"> </w:t>
        <w:tab/>
      </w:r>
      <w:r>
        <w:t xml:space="preserve">Ze spodních částí dosazovacích nádrží je aktivovaný kal přečerpáván pomocí recirkulačních čerpadel (vnější recirkulace) do denitrifikace. Nadbytečný kal je přečerpáván čerpadlem do zahušťovací kalové nádrže a následně do uskladňovací kalové nádrže. Obě kal</w:t>
      </w:r>
      <w:r>
        <w:t xml:space="preserve">ové nádrže jsou vybavené středobublinnými aeračními elementy. Předpokládá se zahuštění přebytečného kalu na výslednou koncentraci cca 3 - 4 %, kal je aerobně stabilizovaný a bude odvodňován na sítopásovém kalolisu, dosahovaná sušina cca 18-24 %.</w:t>
      </w:r>
      <w:r/>
    </w:p>
    <w:p w14:paraId="51DBC9A2">
      <w:pPr>
        <w:pBdr/>
        <w:spacing w:line="276" w:lineRule="auto"/>
        <w:ind/>
        <w:rPr/>
      </w:pPr>
      <w:r>
        <w:t xml:space="preserve">Množství celkového fosforu na odtoku z ČOV je regulováno chemickým srážením. </w:t>
      </w:r>
      <w:r/>
    </w:p>
    <w:p w14:paraId="199EE9D8">
      <w:pPr>
        <w:pBdr/>
        <w:spacing w:line="276" w:lineRule="auto"/>
        <w:ind/>
        <w:rPr/>
      </w:pPr>
      <w:r/>
      <w:r/>
    </w:p>
    <w:p w14:paraId="0A402084">
      <w:pPr>
        <w:pBdr/>
        <w:spacing w:line="276" w:lineRule="auto"/>
        <w:ind/>
        <w:rPr/>
      </w:pPr>
      <w:r>
        <w:tab/>
        <w:t xml:space="preserve">ČOV je vybavena obtokovým potrubí z výtlaku na ČOV napojeným před mechanickým předčištěním a zaústěným do odtokového potrubí (obtok ČOV dodávka stavby). </w:t>
      </w:r>
      <w:r/>
    </w:p>
    <w:p w14:paraId="57A32E88">
      <w:pPr>
        <w:pBdr/>
        <w:spacing w:line="276" w:lineRule="auto"/>
        <w:ind/>
        <w:rPr/>
      </w:pPr>
      <w:r/>
      <w:r/>
    </w:p>
    <w:p w14:paraId="21B7B5F8">
      <w:pPr>
        <w:pBdr/>
        <w:spacing w:line="276" w:lineRule="auto"/>
        <w:ind/>
        <w:rPr>
          <w:b/>
          <w:bCs/>
          <w:u w:val="single"/>
        </w:rPr>
      </w:pPr>
      <w:r>
        <w:rPr>
          <w:b/>
          <w:bCs/>
          <w:u w:val="single"/>
        </w:rPr>
        <w:t xml:space="preserve">Demontáže</w:t>
      </w:r>
      <w:r>
        <w:rPr>
          <w:b/>
          <w:bCs/>
          <w:u w:val="single"/>
        </w:rPr>
      </w:r>
      <w:r>
        <w:rPr>
          <w:b/>
          <w:bCs/>
          <w:u w:val="single"/>
        </w:rPr>
      </w:r>
    </w:p>
    <w:p w14:paraId="5DD4F957">
      <w:pPr>
        <w:pBdr/>
        <w:spacing w:line="276" w:lineRule="auto"/>
        <w:ind/>
        <w:rPr>
          <w:b/>
          <w:bCs/>
          <w:u w:val="single"/>
        </w:rPr>
      </w:pPr>
      <w:r>
        <w:rPr>
          <w:b/>
          <w:bCs/>
          <w:u w:val="single"/>
        </w:rPr>
        <w:t xml:space="preserve">Ve stávajícím objektu ČOV budou provedeny následující demontáže:</w:t>
      </w:r>
      <w:r>
        <w:rPr>
          <w:b/>
          <w:bCs/>
          <w:u w:val="single"/>
        </w:rPr>
      </w:r>
      <w:r>
        <w:rPr>
          <w:b/>
          <w:bCs/>
          <w:u w:val="single"/>
        </w:rPr>
      </w:r>
    </w:p>
    <w:p w14:paraId="1FA243C7">
      <w:pPr>
        <w:pBdr/>
        <w:spacing w:line="276" w:lineRule="auto"/>
        <w:ind/>
        <w:rPr>
          <w:b/>
          <w:bCs/>
          <w:u w:val="single"/>
        </w:rPr>
      </w:pPr>
      <w:r>
        <w:rPr>
          <w:b/>
          <w:bCs/>
          <w:u w:val="single"/>
        </w:rPr>
        <w:t xml:space="preserve">Nádrže aktivace - nově po rekonstrukci denitrifikace (DN)</w:t>
      </w:r>
      <w:r>
        <w:rPr>
          <w:b/>
          <w:bCs/>
          <w:u w:val="single"/>
        </w:rPr>
      </w:r>
      <w:r>
        <w:rPr>
          <w:b/>
          <w:bCs/>
          <w:u w:val="single"/>
        </w:rPr>
      </w:r>
    </w:p>
    <w:p w14:paraId="196BD0B6">
      <w:pPr>
        <w:pBdr/>
        <w:spacing w:line="276" w:lineRule="auto"/>
        <w:ind/>
        <w:rPr>
          <w:highlight w:val="none"/>
        </w:rPr>
      </w:pPr>
      <w:r>
        <w:tab/>
        <w:t xml:space="preserve">Budou kompletně demontovány vložené plastové dosazovací nádrže, včetně všech potrubí a příslušenství. Ponechány budou jen obslužné lávky a nedávno rekonstruované aerační rošty včetně přívodních nerezových potrubí.</w:t>
      </w:r>
      <w:r>
        <w:rPr>
          <w:highlight w:val="none"/>
        </w:rPr>
      </w:r>
    </w:p>
    <w:p w14:paraId="0CF61B43">
      <w:pPr>
        <w:pBdr/>
        <w:spacing w:line="276" w:lineRule="auto"/>
        <w:ind/>
        <w:rPr/>
      </w:pPr>
      <w:r>
        <w:rPr>
          <w:highlight w:val="none"/>
        </w:rPr>
      </w:r>
      <w:r>
        <w:rPr>
          <w:highlight w:val="none"/>
        </w:rPr>
      </w:r>
      <w:r/>
    </w:p>
    <w:p w14:paraId="4B03149B">
      <w:pPr>
        <w:pBdr/>
        <w:spacing w:line="276" w:lineRule="auto"/>
        <w:ind/>
        <w:rPr>
          <w:b/>
          <w:bCs/>
          <w:u w:val="single"/>
        </w:rPr>
      </w:pPr>
      <w:r>
        <w:rPr>
          <w:b/>
          <w:bCs/>
          <w:u w:val="single"/>
        </w:rPr>
        <w:t xml:space="preserve">Denitrifikace - nově uskladňovací kalová jímka (UKN)</w:t>
      </w:r>
      <w:r>
        <w:rPr>
          <w:b/>
          <w:bCs/>
          <w:u w:val="single"/>
        </w:rPr>
      </w:r>
      <w:r>
        <w:rPr>
          <w:b/>
          <w:bCs/>
          <w:u w:val="single"/>
        </w:rPr>
      </w:r>
    </w:p>
    <w:p w14:paraId="3477C2CC">
      <w:pPr>
        <w:pBdr/>
        <w:spacing w:line="276" w:lineRule="auto"/>
        <w:ind/>
        <w:rPr>
          <w:highlight w:val="none"/>
        </w:rPr>
      </w:pPr>
      <w:r>
        <w:tab/>
        <w:t xml:space="preserve">Bude demontováno míchadlo a všechna potrubí. Jeřábek vedle poklopu bude přemístěn na novou pozici (viz výkr. dokumentace).</w:t>
      </w:r>
      <w:r>
        <w:rPr>
          <w:highlight w:val="none"/>
        </w:rPr>
      </w:r>
    </w:p>
    <w:p w14:paraId="7BE24790">
      <w:pPr>
        <w:pBdr/>
        <w:spacing w:line="276" w:lineRule="auto"/>
        <w:ind/>
        <w:rPr/>
      </w:pPr>
      <w:r>
        <w:rPr>
          <w:highlight w:val="none"/>
        </w:rPr>
      </w:r>
      <w:r>
        <w:rPr>
          <w:highlight w:val="none"/>
        </w:rPr>
      </w:r>
      <w:r/>
    </w:p>
    <w:p w14:paraId="1C50C2C6">
      <w:pPr>
        <w:pBdr/>
        <w:spacing w:line="276" w:lineRule="auto"/>
        <w:ind/>
        <w:rPr>
          <w:b/>
          <w:bCs/>
          <w:u w:val="single"/>
        </w:rPr>
      </w:pPr>
      <w:r>
        <w:rPr>
          <w:b/>
          <w:bCs/>
          <w:u w:val="single"/>
        </w:rPr>
        <w:t xml:space="preserve">Kalová jímka - nově zahušťovací kalová nádrž (ZKN)</w:t>
      </w:r>
      <w:r>
        <w:rPr>
          <w:b/>
          <w:bCs/>
          <w:u w:val="single"/>
        </w:rPr>
      </w:r>
      <w:r>
        <w:rPr>
          <w:b/>
          <w:bCs/>
          <w:u w:val="single"/>
        </w:rPr>
      </w:r>
    </w:p>
    <w:p w14:paraId="26E78F1D">
      <w:pPr>
        <w:pBdr/>
        <w:spacing w:line="276" w:lineRule="auto"/>
        <w:ind/>
        <w:rPr>
          <w:highlight w:val="none"/>
        </w:rPr>
      </w:pPr>
      <w:r>
        <w:tab/>
        <w:t xml:space="preserve">Bude demontováno čerpadlo, potrubí a stávající aerační rošt. Bude ponecháno přívodní nerezové potrubí k aeraci.</w:t>
      </w:r>
      <w:r>
        <w:rPr>
          <w:highlight w:val="none"/>
        </w:rPr>
      </w:r>
    </w:p>
    <w:p w14:paraId="42EE906B">
      <w:pPr>
        <w:pBdr/>
        <w:spacing w:line="276" w:lineRule="auto"/>
        <w:ind/>
        <w:rPr/>
      </w:pPr>
      <w:r>
        <w:rPr>
          <w:highlight w:val="none"/>
        </w:rPr>
      </w:r>
      <w:r>
        <w:rPr>
          <w:highlight w:val="none"/>
        </w:rPr>
      </w:r>
      <w:r/>
    </w:p>
    <w:p w14:paraId="32783B11">
      <w:pPr>
        <w:pBdr/>
        <w:spacing w:line="276" w:lineRule="auto"/>
        <w:ind/>
        <w:rPr>
          <w:b/>
          <w:bCs/>
          <w:u w:val="single"/>
        </w:rPr>
      </w:pPr>
      <w:r>
        <w:rPr>
          <w:b/>
          <w:bCs/>
          <w:u w:val="single"/>
        </w:rPr>
        <w:t xml:space="preserve">Fekální jímka – nově jímka kalových vod (JKV)</w:t>
      </w:r>
      <w:r>
        <w:rPr>
          <w:b/>
          <w:bCs/>
          <w:u w:val="single"/>
        </w:rPr>
      </w:r>
      <w:r>
        <w:rPr>
          <w:b/>
          <w:bCs/>
          <w:u w:val="single"/>
        </w:rPr>
      </w:r>
    </w:p>
    <w:p w14:paraId="3077DA49">
      <w:pPr>
        <w:pBdr/>
        <w:spacing w:line="276" w:lineRule="auto"/>
        <w:ind/>
        <w:rPr>
          <w:highlight w:val="none"/>
        </w:rPr>
      </w:pPr>
      <w:r>
        <w:tab/>
        <w:t xml:space="preserve">Bude demontováno veškeré vnitřní zařízení a potrubí.</w:t>
      </w:r>
      <w:r>
        <w:rPr>
          <w:highlight w:val="none"/>
        </w:rPr>
      </w:r>
    </w:p>
    <w:p w14:paraId="6E5E22AE">
      <w:pPr>
        <w:pBdr/>
        <w:spacing w:line="276" w:lineRule="auto"/>
        <w:ind/>
        <w:rPr/>
      </w:pPr>
      <w:r>
        <w:rPr>
          <w:highlight w:val="none"/>
        </w:rPr>
      </w:r>
      <w:r>
        <w:rPr>
          <w:highlight w:val="none"/>
        </w:rPr>
      </w:r>
      <w:r/>
    </w:p>
    <w:p w14:paraId="304D0864">
      <w:pPr>
        <w:pBdr/>
        <w:spacing w:line="276" w:lineRule="auto"/>
        <w:ind/>
        <w:rPr>
          <w:b/>
          <w:bCs/>
          <w:u w:val="single"/>
        </w:rPr>
      </w:pPr>
      <w:r>
        <w:rPr>
          <w:b/>
          <w:bCs/>
          <w:u w:val="single"/>
        </w:rPr>
        <w:t xml:space="preserve">Provozní místnost</w:t>
      </w:r>
      <w:r>
        <w:rPr>
          <w:b/>
          <w:bCs/>
          <w:u w:val="single"/>
        </w:rPr>
      </w:r>
      <w:r>
        <w:rPr>
          <w:b/>
          <w:bCs/>
          <w:u w:val="single"/>
        </w:rPr>
      </w:r>
    </w:p>
    <w:p w14:paraId="055BF80A">
      <w:pPr>
        <w:pBdr/>
        <w:spacing w:line="276" w:lineRule="auto"/>
        <w:ind/>
        <w:rPr>
          <w:highlight w:val="none"/>
        </w:rPr>
      </w:pPr>
      <w:r>
        <w:tab/>
        <w:t xml:space="preserve">Bude demontováno stávající rotační bubnové síto. Dále budou demontovány obě nádrže a dávkovací zařízené pro srážení fosforu.</w:t>
      </w:r>
      <w:r>
        <w:rPr>
          <w:highlight w:val="none"/>
        </w:rPr>
      </w:r>
    </w:p>
    <w:p w14:paraId="6066DF99">
      <w:pPr>
        <w:pBdr/>
        <w:spacing w:line="276" w:lineRule="auto"/>
        <w:ind/>
        <w:rPr/>
      </w:pPr>
      <w:r>
        <w:rPr>
          <w:highlight w:val="none"/>
        </w:rPr>
      </w:r>
      <w:r>
        <w:rPr>
          <w:highlight w:val="none"/>
        </w:rPr>
      </w:r>
      <w:r/>
    </w:p>
    <w:p w14:paraId="4FFC2EF5">
      <w:pPr>
        <w:pBdr/>
        <w:spacing w:line="276" w:lineRule="auto"/>
        <w:ind/>
        <w:rPr>
          <w:b/>
          <w:bCs/>
          <w:u w:val="single"/>
        </w:rPr>
      </w:pPr>
      <w:r>
        <w:rPr>
          <w:b/>
          <w:bCs/>
          <w:u w:val="single"/>
        </w:rPr>
        <w:t xml:space="preserve">Čerpací stanice na odtoku</w:t>
      </w:r>
      <w:r>
        <w:rPr>
          <w:b/>
          <w:bCs/>
          <w:u w:val="single"/>
        </w:rPr>
      </w:r>
      <w:r>
        <w:rPr>
          <w:b/>
          <w:bCs/>
          <w:u w:val="single"/>
        </w:rPr>
      </w:r>
    </w:p>
    <w:p w14:paraId="0FEF7F8A">
      <w:pPr>
        <w:pBdr/>
        <w:spacing w:line="276" w:lineRule="auto"/>
        <w:ind/>
        <w:rPr/>
      </w:pPr>
      <w:r>
        <w:tab/>
        <w:t xml:space="preserve">Ve stávající čerpací stanici budou provedeny jen drobné změny na potrubí v souvislosti s osazením indukčního průtokoměru. Dále bude odstraněn stávající Parshallův žlab (stavební část).</w:t>
      </w:r>
      <w:r/>
    </w:p>
    <w:p w14:paraId="0F848F1B">
      <w:pPr>
        <w:pBdr/>
        <w:spacing w:line="276" w:lineRule="auto"/>
        <w:ind/>
        <w:rPr/>
      </w:pPr>
      <w:r/>
      <w:r/>
    </w:p>
    <w:p w14:paraId="6911600F">
      <w:pPr>
        <w:pBdr/>
        <w:spacing w:line="276" w:lineRule="auto"/>
        <w:ind/>
        <w:rPr>
          <w:b/>
          <w:bCs/>
          <w:u w:val="single"/>
        </w:rPr>
      </w:pPr>
      <w:r>
        <w:rPr>
          <w:b/>
          <w:bCs/>
          <w:u w:val="single"/>
        </w:rPr>
        <w:t xml:space="preserve">Popis jednotlivých objektů technologické části ČOV     </w:t>
      </w:r>
      <w:r>
        <w:rPr>
          <w:b/>
          <w:bCs/>
          <w:u w:val="single"/>
        </w:rPr>
      </w:r>
      <w:r>
        <w:rPr>
          <w:b/>
          <w:bCs/>
          <w:u w:val="single"/>
        </w:rPr>
      </w:r>
    </w:p>
    <w:p w14:paraId="0CCD0AAF">
      <w:pPr>
        <w:pBdr/>
        <w:spacing w:line="276" w:lineRule="auto"/>
        <w:ind/>
        <w:rPr>
          <w:b/>
          <w:bCs/>
          <w:u w:val="single"/>
        </w:rPr>
      </w:pPr>
      <w:r>
        <w:rPr>
          <w:b/>
          <w:bCs/>
          <w:u w:val="single"/>
        </w:rPr>
        <w:t xml:space="preserve">Mechanické předčištění</w:t>
      </w:r>
      <w:r>
        <w:rPr>
          <w:b/>
          <w:bCs/>
          <w:u w:val="single"/>
        </w:rPr>
      </w:r>
      <w:r>
        <w:rPr>
          <w:b/>
          <w:bCs/>
          <w:u w:val="single"/>
        </w:rPr>
      </w:r>
    </w:p>
    <w:p w14:paraId="6090051C">
      <w:pPr>
        <w:pBdr/>
        <w:spacing w:line="276" w:lineRule="auto"/>
        <w:ind/>
        <w:rPr/>
      </w:pPr>
      <w:r>
        <w:tab/>
        <w:t xml:space="preserve">Separace mechanických nečistot z odpadních vod bude zajištěna na rotačním bubnovém sítu 1100x750 (průlina ovál 3x18 mm) s lisem na shrabky. </w:t>
      </w:r>
      <w:r/>
    </w:p>
    <w:p w14:paraId="77376AEB">
      <w:pPr>
        <w:pBdr/>
        <w:spacing w:line="276" w:lineRule="auto"/>
        <w:ind/>
        <w:rPr/>
      </w:pPr>
      <w:r>
        <w:tab/>
        <w:t xml:space="preserve">Zachycené shrabky jsou ukládány do přistavené nádoby.  </w:t>
      </w:r>
      <w:r/>
    </w:p>
    <w:p w14:paraId="21D6D16C">
      <w:pPr>
        <w:pBdr/>
        <w:spacing w:line="276" w:lineRule="auto"/>
        <w:ind/>
        <w:rPr/>
      </w:pPr>
      <w:r>
        <w:tab/>
        <w:t xml:space="preserve">Rotační bubnové síto je vybavené obtokovým kanálem. Na potrubí z tlakové kanalizace je osazen ventil pro přesměrování toku odpadní vody s možnosti obtokování mechanického předčištění.  </w:t>
      </w:r>
      <w:r/>
    </w:p>
    <w:p w14:paraId="6C333575">
      <w:pPr>
        <w:pBdr/>
        <w:spacing w:line="276" w:lineRule="auto"/>
        <w:ind/>
        <w:rPr/>
      </w:pPr>
      <w:r>
        <w:tab/>
        <w:t xml:space="preserve">Chod integrovaného mechanického předčištění je spřažen s chodem indukčního průtokoměru na výtlačném potrubí z kanalizace.</w:t>
      </w:r>
      <w:r/>
    </w:p>
    <w:p w14:paraId="244DA688">
      <w:pPr>
        <w:pBdr/>
        <w:spacing w:line="276" w:lineRule="auto"/>
        <w:ind/>
        <w:rPr>
          <w:b/>
          <w:bCs/>
          <w:u w:val="single"/>
        </w:rPr>
      </w:pPr>
      <w:r>
        <w:rPr>
          <w:b/>
          <w:bCs/>
          <w:u w:val="single"/>
        </w:rPr>
        <w:t xml:space="preserve">Biologické čištění </w:t>
      </w:r>
      <w:r>
        <w:rPr>
          <w:b/>
          <w:bCs/>
          <w:u w:val="single"/>
        </w:rPr>
      </w:r>
      <w:r>
        <w:rPr>
          <w:b/>
          <w:bCs/>
          <w:u w:val="single"/>
        </w:rPr>
      </w:r>
    </w:p>
    <w:p w14:paraId="699ED5AF">
      <w:pPr>
        <w:pBdr/>
        <w:spacing w:line="276" w:lineRule="auto"/>
        <w:ind/>
        <w:rPr/>
      </w:pPr>
      <w:r>
        <w:tab/>
        <w:t xml:space="preserve">O</w:t>
      </w:r>
      <w:r>
        <w:t xml:space="preserve">dpadní voda zbavená mechanických nečistot je přiváděna přes rozdělovací objekt na biologický stupeň čištění sestávající ze dvou koridorů, každý ve složení denitrifikační nádrž a aktivační nádrž s vnořenou vertikálně protékající separaci. Technologické příč</w:t>
      </w:r>
      <w:r>
        <w:t xml:space="preserve">k</w:t>
      </w:r>
      <w:r>
        <w:t xml:space="preserve">y a propojovací potrubí rozdělují biologický reaktor na funkční prostory vzájemně propojené a uzavřené do cirkulačního okruhu. Tím jsou zajištěny všechny dílčí postupy komplexního čištění odpadní vody - denitrifikace, aktivační biodegradace, nitrifikace, s</w:t>
      </w:r>
      <w:r>
        <w:t xml:space="preserve">eparace aktivovaného kalu a jeho automatická recirkulace. Kompaktní uspořádání snižuje hydraulické ztráty a spotřebu elektrické energie.</w:t>
      </w:r>
      <w:r/>
    </w:p>
    <w:p w14:paraId="440F456F">
      <w:pPr>
        <w:pBdr/>
        <w:spacing w:line="276" w:lineRule="auto"/>
        <w:ind/>
        <w:rPr/>
      </w:pPr>
      <w:r>
        <w:tab/>
        <w:t xml:space="preserve">Na prostupech z rozdělovacího objektu jsou osazena hradítka - možnost uzavření nátoku na jednotlivé linky - údržba, čištění, apod.</w:t>
      </w:r>
      <w:r/>
    </w:p>
    <w:p w14:paraId="4257A5DF">
      <w:pPr>
        <w:pBdr/>
        <w:spacing w:line="276" w:lineRule="auto"/>
        <w:ind/>
        <w:rPr/>
      </w:pPr>
      <w:r/>
      <w:r/>
    </w:p>
    <w:p w14:paraId="5B645EBA">
      <w:pPr>
        <w:pBdr/>
        <w:spacing w:line="276" w:lineRule="auto"/>
        <w:ind/>
        <w:rPr>
          <w:b/>
          <w:bCs/>
          <w:u w:val="single"/>
        </w:rPr>
      </w:pPr>
      <w:r>
        <w:rPr>
          <w:b/>
          <w:bCs/>
          <w:u w:val="single"/>
        </w:rPr>
        <w:t xml:space="preserve">Aktivačně - denitrifikační prostor - dvoulinka</w:t>
      </w:r>
      <w:r>
        <w:rPr>
          <w:b/>
          <w:bCs/>
          <w:u w:val="single"/>
        </w:rPr>
      </w:r>
      <w:r>
        <w:rPr>
          <w:b/>
          <w:bCs/>
          <w:u w:val="single"/>
        </w:rPr>
      </w:r>
    </w:p>
    <w:p w14:paraId="12C08A8A">
      <w:pPr>
        <w:pBdr/>
        <w:spacing w:line="276" w:lineRule="auto"/>
        <w:ind/>
        <w:rPr>
          <w:highlight w:val="none"/>
        </w:rPr>
      </w:pPr>
      <w:r>
        <w:tab/>
        <w:t xml:space="preserve">Každá denitrifikační nádrž je míchána pomocí ponorného lopatkového vrtulového míchadla upevněného na vodícím zařízení a opatřeného pro manipulaci přenosným zdvihacím zařízením – otočný jeřábek s ručním kladkostrojem. </w:t>
      </w:r>
      <w:r>
        <w:rPr>
          <w:highlight w:val="none"/>
        </w:rPr>
      </w:r>
    </w:p>
    <w:p w14:paraId="384DCC19">
      <w:pPr>
        <w:pBdr/>
        <w:spacing w:line="276" w:lineRule="auto"/>
        <w:ind/>
        <w:rPr/>
      </w:pPr>
      <w:r/>
      <w:r/>
    </w:p>
    <w:p w14:paraId="74D1202B">
      <w:pPr>
        <w:pBdr/>
        <w:spacing w:line="276" w:lineRule="auto"/>
        <w:ind/>
        <w:rPr/>
      </w:pPr>
      <w:r>
        <w:rPr>
          <w:highlight w:val="none"/>
        </w:rPr>
      </w:r>
      <w:r>
        <w:rPr>
          <w:b/>
          <w:bCs/>
          <w:highlight w:val="none"/>
          <w:u w:val="single"/>
        </w:rPr>
        <w:t xml:space="preserve">Denitrifikační nádrže </w:t>
      </w:r>
      <w:r>
        <w:rPr>
          <w:highlight w:val="none"/>
        </w:rPr>
        <w:t xml:space="preserve">původně sloužily jako aktivace a jsou vybavené jemnobublinným aeračním systémem nedávno rekonstruovaným. Aerace bude ponechána za účelem zajištění míchání v případě poruchy míchadla, nebo při požadavku zvýšeného odbourávání dusíkatého </w:t>
      </w:r>
      <w:r>
        <w:rPr>
          <w:highlight w:val="none"/>
        </w:rPr>
        <w:t xml:space="preserve">z</w:t>
      </w:r>
      <w:r>
        <w:rPr>
          <w:highlight w:val="none"/>
        </w:rPr>
        <w:t xml:space="preserve">nečištění v odpadních vodách. Stlačený vzduch od rotačních dmychadel je veden pomocí tlakového potrubí z nerez oceli do aeračního systému, který se skládá z nosného potrubí a diskových elementů s perforovanou membránou EPDM s teflonovým povlakem, nosné pot</w:t>
      </w:r>
      <w:r>
        <w:rPr>
          <w:highlight w:val="none"/>
        </w:rPr>
        <w:t xml:space="preserve">rubí je kotveno ke dnu nádrže. </w:t>
      </w:r>
      <w:r>
        <w:rPr>
          <w:highlight w:val="none"/>
        </w:rPr>
      </w:r>
      <w:r/>
    </w:p>
    <w:p w14:paraId="529047D0">
      <w:pPr>
        <w:pBdr/>
        <w:spacing w:line="276" w:lineRule="auto"/>
        <w:ind/>
        <w:rPr/>
      </w:pPr>
      <w:r/>
      <w:r/>
    </w:p>
    <w:p w14:paraId="20DBA317">
      <w:pPr>
        <w:pBdr/>
        <w:spacing w:line="276" w:lineRule="auto"/>
        <w:ind/>
        <w:rPr>
          <w:b/>
          <w:bCs/>
          <w:u w:val="single"/>
        </w:rPr>
      </w:pPr>
      <w:r>
        <w:rPr>
          <w:b/>
          <w:bCs/>
          <w:u w:val="single"/>
        </w:rPr>
        <w:t xml:space="preserve">Aktivačně - nitrifikační prostor - dvoulinka </w:t>
      </w:r>
      <w:r>
        <w:rPr>
          <w:b/>
          <w:bCs/>
          <w:u w:val="single"/>
        </w:rPr>
      </w:r>
      <w:r>
        <w:rPr>
          <w:b/>
          <w:bCs/>
          <w:u w:val="single"/>
        </w:rPr>
      </w:r>
    </w:p>
    <w:p w14:paraId="643BE7DD">
      <w:pPr>
        <w:pBdr/>
        <w:spacing w:line="276" w:lineRule="auto"/>
        <w:ind/>
        <w:rPr>
          <w:highlight w:val="none"/>
        </w:rPr>
      </w:pPr>
      <w:r>
        <w:tab/>
        <w:t xml:space="preserve">V</w:t>
      </w:r>
      <w:r>
        <w:t xml:space="preserve"> aktivačním prostoru dochází k biologické oxidaci organických látek a k nitrifikaci přítomných amonných iontů. Provozní koncentrace sušiny aktivovaného kalu se udržuje při hodnotách 3,0 – 4,0 kg/m3. Stáří kalu je navrženo na hodnotu více jak 25 dnů (aktiva</w:t>
      </w:r>
      <w:r>
        <w:t xml:space="preserve">ce s nitrifikací a aerobní stabilizací kalu).</w:t>
      </w:r>
      <w:r>
        <w:rPr>
          <w:highlight w:val="none"/>
        </w:rPr>
      </w:r>
    </w:p>
    <w:p w14:paraId="53FD13FE">
      <w:pPr>
        <w:pBdr/>
        <w:spacing w:line="276" w:lineRule="auto"/>
        <w:ind/>
        <w:rPr/>
      </w:pPr>
      <w:r/>
      <w:r/>
    </w:p>
    <w:p w14:paraId="7DAF0078">
      <w:pPr>
        <w:pBdr/>
        <w:spacing w:line="276" w:lineRule="auto"/>
        <w:ind/>
        <w:rPr/>
      </w:pPr>
      <w:r>
        <w:rPr>
          <w:highlight w:val="none"/>
        </w:rPr>
        <w:tab/>
        <w:t xml:space="preserve">V</w:t>
      </w:r>
      <w:r>
        <w:rPr>
          <w:highlight w:val="none"/>
        </w:rPr>
        <w:t xml:space="preserve"> aktivačních nádržích bude umístěn jemnobublinný aerační systém za účelem zajištění dodávky kyslíku do biologického procesu a udržování suspenze aktivovaného kalu ve vznosu.  Zdrojem stlačeného vzduchu jsou Rootsova dmychadla s vnitřními tlumicími kryty  v</w:t>
      </w:r>
      <w:r>
        <w:rPr>
          <w:highlight w:val="none"/>
        </w:rPr>
        <w:t xml:space="preserve"> uspořádání 2 + 1.</w:t>
      </w:r>
      <w:r>
        <w:rPr>
          <w:highlight w:val="none"/>
        </w:rPr>
      </w:r>
      <w:r/>
    </w:p>
    <w:p w14:paraId="3B09310F">
      <w:pPr>
        <w:pBdr/>
        <w:spacing w:line="276" w:lineRule="auto"/>
        <w:ind/>
        <w:rPr>
          <w:highlight w:val="none"/>
        </w:rPr>
      </w:pPr>
      <w:r>
        <w:rPr>
          <w:highlight w:val="none"/>
        </w:rPr>
        <w:tab/>
        <w:t xml:space="preserve">S</w:t>
      </w:r>
      <w:r>
        <w:rPr>
          <w:highlight w:val="none"/>
        </w:rPr>
        <w:t xml:space="preserve">tlačený vzduch od rotačních dmychadel je veden pomocí tlakového potrubí z nerez oceli do jemnobublinných aeračních systémů, který se skládá z nosného potrubí a diskových elementů s perforovanou membránou EPDM s teflonovým povlakem, nosné potrubí je kotveno</w:t>
      </w:r>
      <w:r>
        <w:rPr>
          <w:highlight w:val="none"/>
        </w:rPr>
        <w:t xml:space="preserve"> ke dnu nádrže. </w:t>
      </w:r>
      <w:r>
        <w:rPr>
          <w:highlight w:val="none"/>
        </w:rPr>
      </w:r>
      <w:r>
        <w:rPr>
          <w:highlight w:val="none"/>
        </w:rPr>
      </w:r>
    </w:p>
    <w:p w14:paraId="50D24927">
      <w:pPr>
        <w:pBdr/>
        <w:spacing w:line="276" w:lineRule="auto"/>
        <w:ind/>
        <w:rPr>
          <w:highlight w:val="none"/>
        </w:rPr>
      </w:pPr>
      <w:r>
        <w:rPr>
          <w:highlight w:val="none"/>
        </w:rPr>
      </w:r>
      <w:r>
        <w:rPr>
          <w:highlight w:val="none"/>
        </w:rPr>
        <w:tab/>
        <w:t xml:space="preserve">Ovládání dmychadel aerace je automatické dle aktuální koncentrace rozpuštěného kyslíku měřené optickou kyslíkovou sondou  v obou aktivacích. Instalační armatury sond jsou přichycené k obslužné lávce aktivací.  </w:t>
      </w:r>
      <w:r>
        <w:rPr>
          <w:highlight w:val="none"/>
        </w:rPr>
      </w:r>
      <w:r>
        <w:rPr>
          <w:highlight w:val="none"/>
        </w:rPr>
      </w:r>
    </w:p>
    <w:p w14:paraId="4635C84A">
      <w:pPr>
        <w:pBdr/>
        <w:spacing w:line="276" w:lineRule="auto"/>
        <w:ind/>
        <w:rPr/>
      </w:pPr>
      <w:r/>
      <w:r/>
    </w:p>
    <w:p w14:paraId="11AF1904">
      <w:pPr>
        <w:pBdr/>
        <w:spacing w:line="276" w:lineRule="auto"/>
        <w:ind/>
        <w:rPr>
          <w:highlight w:val="none"/>
        </w:rPr>
      </w:pPr>
      <w:r>
        <w:rPr>
          <w:highlight w:val="none"/>
        </w:rPr>
        <w:tab/>
        <w:t xml:space="preserve">Vnitřní recirkulace kalu je zajištěna pomocí kalových čerpadel, které čerpají aktivovaný kal z nitrifikačních nádrží do denitrifikací. </w:t>
      </w:r>
      <w:r>
        <w:rPr>
          <w:highlight w:val="none"/>
        </w:rPr>
      </w:r>
      <w:r>
        <w:rPr>
          <w:highlight w:val="none"/>
        </w:rPr>
      </w:r>
    </w:p>
    <w:p w14:paraId="79DC77EF">
      <w:pPr>
        <w:pBdr/>
        <w:spacing w:line="276" w:lineRule="auto"/>
        <w:ind/>
        <w:rPr>
          <w:highlight w:val="none"/>
        </w:rPr>
      </w:pPr>
      <w:r>
        <w:rPr>
          <w:highlight w:val="none"/>
        </w:rPr>
      </w:r>
      <w:r>
        <w:rPr>
          <w:highlight w:val="none"/>
        </w:rPr>
      </w:r>
      <w:r>
        <w:rPr>
          <w:highlight w:val="none"/>
        </w:rPr>
      </w:r>
    </w:p>
    <w:p w14:paraId="1C2B55DD">
      <w:pPr>
        <w:pBdr/>
        <w:spacing w:line="276" w:lineRule="auto"/>
        <w:ind/>
        <w:rPr>
          <w:b/>
          <w:bCs/>
          <w:u w:val="single"/>
        </w:rPr>
      </w:pPr>
      <w:r>
        <w:rPr>
          <w:b/>
          <w:bCs/>
          <w:highlight w:val="none"/>
          <w:u w:val="single"/>
        </w:rPr>
        <w:t xml:space="preserve">Dosazovací nádrže – separační prostor  - dvoulinka </w:t>
      </w:r>
      <w:r>
        <w:rPr>
          <w:b/>
          <w:bCs/>
          <w:highlight w:val="none"/>
          <w:u w:val="single"/>
        </w:rPr>
      </w:r>
      <w:r>
        <w:rPr>
          <w:b/>
          <w:bCs/>
          <w:u w:val="single"/>
        </w:rPr>
      </w:r>
    </w:p>
    <w:p w14:paraId="2058D6E6">
      <w:pPr>
        <w:pBdr/>
        <w:spacing w:line="276" w:lineRule="auto"/>
        <w:ind/>
        <w:rPr/>
      </w:pPr>
      <w:r>
        <w:rPr>
          <w:highlight w:val="none"/>
        </w:rPr>
        <w:tab/>
        <w:t xml:space="preserve">V dosazovacích nádržích dochází k oddělení kalu od vyčištěné odpadní vody.  </w:t>
      </w:r>
      <w:r>
        <w:rPr>
          <w:highlight w:val="none"/>
        </w:rPr>
      </w:r>
      <w:r/>
    </w:p>
    <w:p w14:paraId="0230F0DA">
      <w:pPr>
        <w:pBdr/>
        <w:spacing w:line="276" w:lineRule="auto"/>
        <w:ind/>
        <w:rPr/>
      </w:pPr>
      <w:r>
        <w:rPr>
          <w:highlight w:val="none"/>
        </w:rPr>
        <w:t xml:space="preserve">Dosazovací nádrže dortmundského typu s válcovou částí – půdorys mnohoúhelníku s vepsanou kružnicí o průměru 5,5 m jsou umístěné v aktivačních nádržích. </w:t>
      </w:r>
      <w:r>
        <w:rPr>
          <w:highlight w:val="none"/>
        </w:rPr>
      </w:r>
      <w:r/>
    </w:p>
    <w:p w14:paraId="00FA85C1">
      <w:pPr>
        <w:pBdr/>
        <w:spacing w:line="276" w:lineRule="auto"/>
        <w:ind/>
        <w:rPr>
          <w:highlight w:val="none"/>
        </w:rPr>
      </w:pPr>
      <w:r>
        <w:rPr>
          <w:highlight w:val="none"/>
        </w:rPr>
        <w:tab/>
        <w:t xml:space="preserve">Z</w:t>
      </w:r>
      <w:r>
        <w:rPr>
          <w:highlight w:val="none"/>
        </w:rPr>
        <w:t xml:space="preserve"> aktivace natéká do separace aktivovaná směs přes uklidňovací – odplyňovací válec, vyčištěná voda odtéká gravitačně přes ponorné odtokové potrubí, doplněné o zařízení udržující konstantní hladinu v reaktoru do čerpací jímky na odtoku, která současně slouží</w:t>
      </w:r>
      <w:r>
        <w:rPr>
          <w:highlight w:val="none"/>
        </w:rPr>
        <w:t xml:space="preserve"> jako akumulační nádrž vyčištěné vody. </w:t>
      </w:r>
      <w:r>
        <w:rPr>
          <w:highlight w:val="none"/>
        </w:rPr>
      </w:r>
      <w:r>
        <w:rPr>
          <w:highlight w:val="none"/>
        </w:rPr>
      </w:r>
    </w:p>
    <w:p w14:paraId="736A22B3">
      <w:pPr>
        <w:pBdr/>
        <w:spacing w:line="276" w:lineRule="auto"/>
        <w:ind/>
        <w:rPr/>
      </w:pPr>
      <w:r/>
      <w:r/>
    </w:p>
    <w:p w14:paraId="2AE74829">
      <w:pPr>
        <w:pBdr/>
        <w:spacing w:line="276" w:lineRule="auto"/>
        <w:ind/>
        <w:rPr/>
      </w:pPr>
      <w:r>
        <w:rPr>
          <w:highlight w:val="none"/>
        </w:rPr>
        <w:tab/>
        <w:t xml:space="preserve">Separace je navržena tak, že při maximálním průtoku odpadní vody činí hodnota zatížení separační plochy nerozpuštěnými látkami 3 - 4 kg/m-2.h-1.</w:t>
      </w:r>
      <w:r>
        <w:rPr>
          <w:highlight w:val="none"/>
        </w:rPr>
      </w:r>
      <w:r/>
    </w:p>
    <w:p w14:paraId="0324FAFB">
      <w:pPr>
        <w:pBdr/>
        <w:spacing w:line="276" w:lineRule="auto"/>
        <w:ind/>
        <w:rPr/>
      </w:pPr>
      <w:r>
        <w:rPr>
          <w:highlight w:val="none"/>
        </w:rPr>
      </w:r>
      <w:r>
        <w:rPr>
          <w:highlight w:val="none"/>
        </w:rPr>
      </w:r>
      <w:r/>
    </w:p>
    <w:p w14:paraId="3AAD3426">
      <w:pPr>
        <w:pBdr/>
        <w:spacing w:line="276" w:lineRule="auto"/>
        <w:ind/>
        <w:rPr/>
      </w:pPr>
      <w:r>
        <w:rPr>
          <w:highlight w:val="none"/>
        </w:rPr>
        <w:tab/>
        <w:t xml:space="preserve">Ve spodní, zúžené části dosazovacích nádrží je umístěné sání kalových čerpadel zajišťujících odtah aktivovaného kalu do denitrifikačních nádrží (vnější recirkulace kalu) a přebytečný kal  do zahušťovací kalové nádrže. </w:t>
      </w:r>
      <w:r>
        <w:rPr>
          <w:highlight w:val="none"/>
        </w:rPr>
      </w:r>
      <w:r/>
    </w:p>
    <w:p w14:paraId="38B27802">
      <w:pPr>
        <w:pBdr/>
        <w:spacing w:line="276" w:lineRule="auto"/>
        <w:ind/>
        <w:rPr/>
      </w:pPr>
      <w:r>
        <w:rPr>
          <w:highlight w:val="none"/>
        </w:rPr>
      </w:r>
      <w:r>
        <w:rPr>
          <w:highlight w:val="none"/>
        </w:rPr>
      </w:r>
      <w:r/>
    </w:p>
    <w:p w14:paraId="34F1FB6D">
      <w:pPr>
        <w:pBdr/>
        <w:spacing w:line="276" w:lineRule="auto"/>
        <w:ind/>
        <w:rPr/>
      </w:pPr>
      <w:r>
        <w:rPr>
          <w:highlight w:val="none"/>
        </w:rPr>
        <w:tab/>
        <w:t xml:space="preserve">P</w:t>
      </w:r>
      <w:r>
        <w:rPr>
          <w:highlight w:val="none"/>
        </w:rPr>
        <w:t xml:space="preserve">lovoucí nečistoty z hladin separací lze odstraňovat pomocí zařízení na stahování těchto nečistot.  Zařízení na stahování plovoucích nečistot z hladin separací pracuje tak, že plovoucí nečistoty jsou pomocí vytvořeného protiproudu vzduchu svedené přes trych</w:t>
      </w:r>
      <w:r>
        <w:rPr>
          <w:highlight w:val="none"/>
        </w:rPr>
        <w:t xml:space="preserve">týřový odtok hydropneumatickým čerpadlem zpět do aktivace.</w:t>
      </w:r>
      <w:r>
        <w:rPr>
          <w:highlight w:val="none"/>
        </w:rPr>
      </w:r>
      <w:r/>
    </w:p>
    <w:p w14:paraId="4F1FBE86">
      <w:pPr>
        <w:pBdr/>
        <w:spacing w:line="276" w:lineRule="auto"/>
        <w:ind/>
        <w:rPr/>
      </w:pPr>
      <w:r>
        <w:rPr>
          <w:highlight w:val="none"/>
        </w:rPr>
        <w:tab/>
        <w:t xml:space="preserve">Plovoucí nečistoty a tuky z hladin uklidňovacích válců lze odstraňovat pomocí zařízení na stahování těchto nečistot a zachycené nečistoty a tuky jsou pomocí hydropneumatického čerpadla čerpány  do zahušťovací kalové nádrže. </w:t>
      </w:r>
      <w:r>
        <w:rPr>
          <w:highlight w:val="none"/>
        </w:rPr>
      </w:r>
      <w:r/>
    </w:p>
    <w:p w14:paraId="250C01BD">
      <w:pPr>
        <w:pBdr/>
        <w:spacing w:line="276" w:lineRule="auto"/>
        <w:ind/>
        <w:rPr/>
      </w:pPr>
      <w:r>
        <w:rPr>
          <w:highlight w:val="none"/>
        </w:rPr>
        <w:tab/>
        <w:t xml:space="preserve">Automatické stahování je programovatelně voleno dle potřeby provozu, příp. jej lze přepnout do ručního režimu. </w:t>
      </w:r>
      <w:r>
        <w:rPr>
          <w:highlight w:val="none"/>
        </w:rPr>
      </w:r>
      <w:r/>
    </w:p>
    <w:p w14:paraId="38BA86A5">
      <w:pPr>
        <w:pBdr/>
        <w:spacing w:line="276" w:lineRule="auto"/>
        <w:ind/>
        <w:rPr/>
      </w:pPr>
      <w:r>
        <w:rPr>
          <w:highlight w:val="none"/>
        </w:rPr>
        <w:tab/>
        <w:t xml:space="preserve">Zdrojem vzduchu hydropneumatických čerpadel stahování hladin separace a uklidňovacího válce jsou dmychadla aktivace. </w:t>
      </w:r>
      <w:r>
        <w:rPr>
          <w:highlight w:val="none"/>
        </w:rPr>
      </w:r>
      <w:r/>
    </w:p>
    <w:p w14:paraId="0FBA111F">
      <w:pPr>
        <w:pBdr/>
        <w:spacing w:line="276" w:lineRule="auto"/>
        <w:ind/>
        <w:rPr/>
      </w:pPr>
      <w:r>
        <w:rPr>
          <w:highlight w:val="none"/>
        </w:rPr>
      </w:r>
      <w:r>
        <w:rPr>
          <w:highlight w:val="none"/>
        </w:rPr>
      </w:r>
      <w:r/>
    </w:p>
    <w:p w14:paraId="0077B56E">
      <w:pPr>
        <w:pBdr/>
        <w:spacing w:line="276" w:lineRule="auto"/>
        <w:ind/>
        <w:rPr>
          <w:b/>
          <w:bCs/>
          <w:u w:val="single"/>
        </w:rPr>
      </w:pPr>
      <w:r>
        <w:rPr>
          <w:b/>
          <w:bCs/>
          <w:highlight w:val="none"/>
          <w:u w:val="single"/>
        </w:rPr>
        <w:t xml:space="preserve">Čerpací jímka na odtoku - akumulační nádrž </w:t>
      </w:r>
      <w:r>
        <w:rPr>
          <w:b/>
          <w:bCs/>
          <w:highlight w:val="none"/>
          <w:u w:val="single"/>
        </w:rPr>
      </w:r>
      <w:r>
        <w:rPr>
          <w:b/>
          <w:bCs/>
          <w:u w:val="single"/>
        </w:rPr>
      </w:r>
    </w:p>
    <w:p w14:paraId="172D2CFB">
      <w:pPr>
        <w:pBdr/>
        <w:spacing w:line="276" w:lineRule="auto"/>
        <w:ind/>
        <w:rPr/>
      </w:pPr>
      <w:r>
        <w:rPr>
          <w:highlight w:val="none"/>
        </w:rPr>
        <w:tab/>
        <w:t xml:space="preserve">Vyčištěná odpadní voda z dosazovacích nádrží natéká gravitačně do čerpací jímky na odtoku, která současně slouží jako akumulační nádrž vyčištěných vod.</w:t>
      </w:r>
      <w:r>
        <w:rPr>
          <w:highlight w:val="none"/>
        </w:rPr>
      </w:r>
      <w:r/>
    </w:p>
    <w:p w14:paraId="027C91AB">
      <w:pPr>
        <w:pBdr/>
        <w:spacing w:line="276" w:lineRule="auto"/>
        <w:ind/>
        <w:rPr/>
      </w:pPr>
      <w:r>
        <w:rPr>
          <w:highlight w:val="none"/>
        </w:rPr>
        <w:tab/>
        <w:t xml:space="preserve">Vyčištěná voda je akumulována za účelem jejího dalšího využití pro ostřik technologie ČOV, proplach shrabků, ostřik šnekového lisu a údržbu ČOV. </w:t>
      </w:r>
      <w:r>
        <w:rPr>
          <w:highlight w:val="none"/>
        </w:rPr>
      </w:r>
      <w:r/>
    </w:p>
    <w:p w14:paraId="752BB507">
      <w:pPr>
        <w:pBdr/>
        <w:spacing w:line="276" w:lineRule="auto"/>
        <w:ind/>
        <w:rPr>
          <w:highlight w:val="none"/>
        </w:rPr>
      </w:pPr>
      <w:r>
        <w:rPr>
          <w:highlight w:val="none"/>
        </w:rPr>
        <w:tab/>
        <w:t xml:space="preserve">Vyčištěná voda je používána přes automatickou tlakovou stanici. </w:t>
      </w:r>
      <w:r>
        <w:rPr>
          <w:highlight w:val="none"/>
        </w:rPr>
      </w:r>
      <w:r>
        <w:rPr>
          <w:highlight w:val="none"/>
        </w:rPr>
      </w:r>
    </w:p>
    <w:p w14:paraId="4F2B5E0A">
      <w:pPr>
        <w:pBdr/>
        <w:spacing w:line="276" w:lineRule="auto"/>
        <w:ind/>
        <w:rPr>
          <w:highlight w:val="none"/>
        </w:rPr>
      </w:pPr>
      <w:r>
        <w:rPr>
          <w:highlight w:val="none"/>
        </w:rPr>
      </w:r>
      <w:r>
        <w:rPr>
          <w:highlight w:val="none"/>
        </w:rPr>
        <w:tab/>
        <w:t xml:space="preserve">V</w:t>
      </w:r>
      <w:r>
        <w:rPr>
          <w:highlight w:val="none"/>
        </w:rPr>
        <w:t xml:space="preserve"> čerpací jímce na odtoku jsou na patních kolenech a vodících tyčích umístěna tři ponorná kalová čerpadla v sestavě 1+1+1, kterými je vyčištěná odpadní voda čerpána do recipientu. Stávající vystrojení čerpací stanice je vyhovující a v dobrém technickém stav</w:t>
      </w:r>
      <w:r>
        <w:rPr>
          <w:highlight w:val="none"/>
        </w:rPr>
        <w:t xml:space="preserve">u – zůstane původní.</w:t>
      </w:r>
      <w:r>
        <w:rPr>
          <w:highlight w:val="none"/>
        </w:rPr>
      </w:r>
      <w:r>
        <w:rPr>
          <w:highlight w:val="none"/>
        </w:rPr>
      </w:r>
    </w:p>
    <w:p w14:paraId="53523384">
      <w:pPr>
        <w:pBdr/>
        <w:spacing w:line="276" w:lineRule="auto"/>
        <w:ind/>
        <w:rPr/>
      </w:pPr>
      <w:r/>
      <w:r/>
    </w:p>
    <w:p w14:paraId="3AAF7E0A">
      <w:pPr>
        <w:pBdr/>
        <w:spacing w:line="276" w:lineRule="auto"/>
        <w:ind/>
        <w:rPr>
          <w:b/>
          <w:bCs/>
          <w:u w:val="single"/>
        </w:rPr>
      </w:pPr>
      <w:r>
        <w:rPr>
          <w:b/>
          <w:bCs/>
          <w:highlight w:val="none"/>
          <w:u w:val="single"/>
        </w:rPr>
        <w:t xml:space="preserve">Technologie ČOV je vybavena zařízením pro chemické srážení fosforu.  </w:t>
      </w:r>
      <w:r>
        <w:rPr>
          <w:b/>
          <w:bCs/>
          <w:highlight w:val="none"/>
          <w:u w:val="single"/>
        </w:rPr>
      </w:r>
      <w:r>
        <w:rPr>
          <w:b/>
          <w:bCs/>
          <w:u w:val="single"/>
        </w:rPr>
      </w:r>
    </w:p>
    <w:p w14:paraId="74BB0252">
      <w:pPr>
        <w:pBdr/>
        <w:spacing w:line="276" w:lineRule="auto"/>
        <w:ind/>
        <w:rPr/>
      </w:pPr>
      <w:r>
        <w:rPr>
          <w:highlight w:val="none"/>
        </w:rPr>
        <w:tab/>
        <w:t xml:space="preserve">Odstraňování sloučenin fosforu z odpadních vod je řešeno simultánním srážením, koagulant  (např. 41 % vodný roztok síranu železitého) je přiváděn dávkovacími čerpadly  a potrubím přes rozdělovací objekt do denitrifikačních částí biologického reaktoru. </w:t>
      </w:r>
      <w:r>
        <w:rPr>
          <w:highlight w:val="none"/>
        </w:rPr>
      </w:r>
      <w:r/>
    </w:p>
    <w:p w14:paraId="25C504D7">
      <w:pPr>
        <w:pBdr/>
        <w:spacing w:line="276" w:lineRule="auto"/>
        <w:ind/>
        <w:rPr/>
      </w:pPr>
      <w:r>
        <w:rPr>
          <w:highlight w:val="none"/>
        </w:rPr>
        <w:tab/>
        <w:t xml:space="preserve">Venkovní válcová dvouplášťová nádrž (materiál PE 100) o objemu 4 m3 bude umístěna vně budovy stávající ČOV a bude sloužit k uskladnění koagulantu.</w:t>
      </w:r>
      <w:r>
        <w:rPr>
          <w:highlight w:val="none"/>
        </w:rPr>
      </w:r>
      <w:r/>
    </w:p>
    <w:p w14:paraId="26870FEF">
      <w:pPr>
        <w:pBdr/>
        <w:spacing w:line="276" w:lineRule="auto"/>
        <w:ind/>
        <w:rPr/>
      </w:pPr>
      <w:r>
        <w:rPr>
          <w:highlight w:val="none"/>
        </w:rPr>
        <w:tab/>
        <w:t xml:space="preserve">Nádrž s plnícím potrubím DN 80, uzavírací armaturou, kontrolním vlezem DN 500 v kuželovém víku a rychlospojkou bude vybavena mechanickým stavoznakem a potřebnými regulačními prvky a signalizačními senzory. </w:t>
      </w:r>
      <w:r>
        <w:rPr>
          <w:highlight w:val="none"/>
        </w:rPr>
      </w:r>
      <w:r/>
    </w:p>
    <w:p w14:paraId="1D2FB93C">
      <w:pPr>
        <w:pBdr/>
        <w:spacing w:line="276" w:lineRule="auto"/>
        <w:ind/>
        <w:rPr/>
      </w:pPr>
      <w:r>
        <w:rPr>
          <w:highlight w:val="none"/>
        </w:rPr>
        <w:tab/>
        <w:t xml:space="preserve">Pod plnící přípojkou bude záchytná odkapová vanička. </w:t>
      </w:r>
      <w:r>
        <w:rPr>
          <w:highlight w:val="none"/>
        </w:rPr>
      </w:r>
      <w:r/>
    </w:p>
    <w:p w14:paraId="02A4CE72">
      <w:pPr>
        <w:pBdr/>
        <w:spacing w:line="276" w:lineRule="auto"/>
        <w:ind/>
        <w:rPr/>
      </w:pPr>
      <w:r>
        <w:rPr>
          <w:highlight w:val="none"/>
        </w:rPr>
        <w:tab/>
        <w:t xml:space="preserve">Součástí nádrže bude i temperovaná dávkovací skříň se dvěma dávkovacími čerpadly. Pro každou linku je určeno jedno dávkovací čerpadlo.</w:t>
      </w:r>
      <w:r>
        <w:rPr>
          <w:highlight w:val="none"/>
        </w:rPr>
      </w:r>
      <w:r/>
    </w:p>
    <w:p w14:paraId="2C889D66">
      <w:pPr>
        <w:pBdr/>
        <w:spacing w:line="276" w:lineRule="auto"/>
        <w:ind/>
        <w:rPr/>
      </w:pPr>
      <w:r>
        <w:rPr>
          <w:highlight w:val="none"/>
        </w:rPr>
        <w:tab/>
        <w:t xml:space="preserve">Určení potřebné dávky koagulantu bude provedeno na základě zjištěných skutečných hodnot </w:t>
      </w:r>
      <w:r>
        <w:rPr>
          <w:highlight w:val="none"/>
        </w:rPr>
      </w:r>
      <w:r/>
    </w:p>
    <w:p w14:paraId="6ED21E8D">
      <w:pPr>
        <w:pBdr/>
        <w:spacing w:line="276" w:lineRule="auto"/>
        <w:ind/>
        <w:rPr>
          <w:highlight w:val="none"/>
        </w:rPr>
      </w:pPr>
      <w:r>
        <w:rPr>
          <w:highlight w:val="none"/>
        </w:rPr>
        <w:t xml:space="preserve">koncentrace sloučenin fosforu v odpadních vodách v rámci zkušebního provozu.</w:t>
      </w:r>
      <w:r>
        <w:rPr>
          <w:highlight w:val="none"/>
        </w:rPr>
      </w:r>
      <w:r>
        <w:rPr>
          <w:highlight w:val="none"/>
        </w:rPr>
      </w:r>
    </w:p>
    <w:p w14:paraId="6ED476D2">
      <w:pPr>
        <w:pBdr/>
        <w:spacing w:line="276" w:lineRule="auto"/>
        <w:ind/>
        <w:rPr/>
      </w:pPr>
      <w:r/>
      <w:r/>
    </w:p>
    <w:p w14:paraId="29B5E9BF">
      <w:pPr>
        <w:pBdr/>
        <w:spacing w:line="276" w:lineRule="auto"/>
        <w:ind/>
        <w:rPr>
          <w:b/>
          <w:bCs/>
          <w:u w:val="single"/>
        </w:rPr>
      </w:pPr>
      <w:r>
        <w:rPr>
          <w:b/>
          <w:bCs/>
          <w:highlight w:val="none"/>
          <w:u w:val="single"/>
        </w:rPr>
        <w:t xml:space="preserve">Kalové hospodářství</w:t>
      </w:r>
      <w:r>
        <w:rPr>
          <w:b/>
          <w:bCs/>
          <w:highlight w:val="none"/>
          <w:u w:val="single"/>
        </w:rPr>
      </w:r>
      <w:r>
        <w:rPr>
          <w:b/>
          <w:bCs/>
          <w:u w:val="single"/>
        </w:rPr>
      </w:r>
    </w:p>
    <w:p w14:paraId="0884FAF8">
      <w:pPr>
        <w:pBdr/>
        <w:spacing w:line="276" w:lineRule="auto"/>
        <w:ind/>
        <w:rPr>
          <w:b/>
          <w:bCs/>
          <w:u w:val="single"/>
        </w:rPr>
      </w:pPr>
      <w:r>
        <w:rPr>
          <w:b/>
          <w:bCs/>
          <w:highlight w:val="none"/>
          <w:u w:val="single"/>
        </w:rPr>
        <w:t xml:space="preserve">Zahušťovací kalová nádrž  </w:t>
      </w:r>
      <w:r>
        <w:rPr>
          <w:b/>
          <w:bCs/>
          <w:highlight w:val="none"/>
          <w:u w:val="single"/>
        </w:rPr>
      </w:r>
      <w:r>
        <w:rPr>
          <w:b/>
          <w:bCs/>
          <w:u w:val="single"/>
        </w:rPr>
      </w:r>
    </w:p>
    <w:p w14:paraId="669F9304">
      <w:pPr>
        <w:pBdr/>
        <w:spacing w:line="276" w:lineRule="auto"/>
        <w:ind/>
        <w:rPr/>
      </w:pPr>
      <w:r>
        <w:rPr>
          <w:highlight w:val="none"/>
        </w:rPr>
        <w:tab/>
        <w:t xml:space="preserve">Přebytečný kal z dosazovacích nádrží je čerpán kalovými čerpadly do zahušťovací kalové nádrže, kde dochází k jeho gravitačnímu zahuštění</w:t>
      </w:r>
      <w:r>
        <w:rPr>
          <w:highlight w:val="none"/>
        </w:rPr>
      </w:r>
      <w:r/>
    </w:p>
    <w:p w14:paraId="1DB5E876">
      <w:pPr>
        <w:pBdr/>
        <w:spacing w:line="276" w:lineRule="auto"/>
        <w:ind/>
        <w:rPr/>
      </w:pPr>
      <w:r/>
      <w:r/>
    </w:p>
    <w:p w14:paraId="31BFACBB">
      <w:pPr>
        <w:pBdr/>
        <w:spacing w:line="276" w:lineRule="auto"/>
        <w:ind/>
        <w:rPr/>
      </w:pPr>
      <w:r>
        <w:tab/>
        <w:t xml:space="preserve">V</w:t>
      </w:r>
      <w:r>
        <w:t xml:space="preserve"> zahušťovací kalové nádrži je umístěn středobublinný aerační systém a dvě ponorné kalové čerpadla umístěné na vodících tyčích. Aerace slouží k aerobní stabilizaci kalu, jedno polohovatelné čerpadlo je určené k přečerpávání odsazené kalové vody z hladiny ná</w:t>
      </w:r>
      <w:r>
        <w:t xml:space="preserve">drže do jímky kalových vod, druhým čerpadlem umístěným u dna nádrže je sedimentovaný kal čerpán do uskladňovací kalové nádrže.</w:t>
      </w:r>
      <w:r/>
    </w:p>
    <w:p w14:paraId="07D02A7B">
      <w:pPr>
        <w:pBdr/>
        <w:spacing w:line="276" w:lineRule="auto"/>
        <w:ind/>
        <w:rPr/>
      </w:pPr>
      <w:r>
        <w:tab/>
        <w:t xml:space="preserve">Stlačený vzduch od dmychadla je veden pomocí tlakového potrubí z nerez oceli do středobublinného aeračního roštu</w:t>
      </w:r>
      <w:r/>
    </w:p>
    <w:p w14:paraId="31FCC60F">
      <w:pPr>
        <w:pBdr/>
        <w:spacing w:line="276" w:lineRule="auto"/>
        <w:ind/>
        <w:rPr/>
      </w:pPr>
      <w:r>
        <w:tab/>
        <w:t xml:space="preserve">S</w:t>
      </w:r>
      <w:r>
        <w:t xml:space="preserve">tředobublinný aerační element se skládá z pryžové perforované membrány (EPDM) uchycené na nosném talíři pomocí nerezavějícího upevňovacího pásku se sponou. Na vzduchové potrubí, které je kotvené ke dnu nádrže, se připevňuje prostřednictvím vnějšího ¾“ závi</w:t>
      </w:r>
      <w:r>
        <w:t xml:space="preserve">tu a závitového odbočovače. Membrána  při poklesu tlaku uzavírá vstupní otvor vzduchu.</w:t>
      </w:r>
      <w:r/>
    </w:p>
    <w:p w14:paraId="7F70B592">
      <w:pPr>
        <w:pBdr/>
        <w:spacing w:line="276" w:lineRule="auto"/>
        <w:ind/>
        <w:rPr/>
      </w:pPr>
      <w:r>
        <w:t xml:space="preserve">  </w:t>
      </w:r>
      <w:r/>
    </w:p>
    <w:p w14:paraId="6E12AA41">
      <w:pPr>
        <w:pBdr/>
        <w:spacing w:line="276" w:lineRule="auto"/>
        <w:ind/>
        <w:rPr/>
      </w:pPr>
      <w:r>
        <w:tab/>
        <w:t xml:space="preserve">Manipulace s kalovými čerpadly je pomocí společného přenosného zdvihacího zařízení – otočný jeřábek s ručním kladkostrojem a nerezovým lankem, patky pro umístění jeřábku  jsou kotvené k podlaze.  </w:t>
      </w:r>
      <w:r/>
    </w:p>
    <w:p w14:paraId="6297D21F">
      <w:pPr>
        <w:pBdr/>
        <w:spacing w:line="276" w:lineRule="auto"/>
        <w:ind/>
        <w:rPr>
          <w:highlight w:val="none"/>
        </w:rPr>
      </w:pPr>
      <w:r>
        <w:t xml:space="preserve">Zdrojem vzduchu pro aeraci kalových nádrží nádrže je stávající dmychadlo umístěné v dmychárně (stávající objekt ČOV).</w:t>
      </w:r>
      <w:r>
        <w:rPr>
          <w:highlight w:val="none"/>
        </w:rPr>
      </w:r>
    </w:p>
    <w:p w14:paraId="50EADF17">
      <w:pPr>
        <w:pBdr/>
        <w:spacing w:line="276" w:lineRule="auto"/>
        <w:ind/>
        <w:rPr/>
      </w:pPr>
      <w:r/>
      <w:r/>
    </w:p>
    <w:p w14:paraId="6E45AE96">
      <w:pPr>
        <w:pBdr/>
        <w:spacing w:line="276" w:lineRule="auto"/>
        <w:ind/>
        <w:rPr/>
      </w:pPr>
      <w:r>
        <w:rPr>
          <w:highlight w:val="none"/>
        </w:rPr>
      </w:r>
      <w:r>
        <w:rPr>
          <w:highlight w:val="none"/>
        </w:rPr>
        <w:tab/>
        <w:t xml:space="preserve">Technologie nízkozatěžované aktivace použitá k čištění odpadních vod zajišťuje aerobní stabilizaci kalu. Do uskladňovací kalové nádrže je sedimentovaný kal čerpán ze dna zahušťovací kalové nádrže čerpadlem. </w:t>
      </w:r>
      <w:r>
        <w:rPr>
          <w:highlight w:val="none"/>
        </w:rPr>
      </w:r>
      <w:r/>
    </w:p>
    <w:p w14:paraId="67AA81C0">
      <w:pPr>
        <w:pBdr/>
        <w:spacing w:line="276" w:lineRule="auto"/>
        <w:ind/>
        <w:rPr/>
      </w:pPr>
      <w:r/>
      <w:r/>
    </w:p>
    <w:p w14:paraId="657B4E06">
      <w:pPr>
        <w:pBdr/>
        <w:spacing w:line="276" w:lineRule="auto"/>
        <w:ind/>
        <w:rPr>
          <w:highlight w:val="none"/>
        </w:rPr>
      </w:pPr>
      <w:r>
        <w:rPr>
          <w:highlight w:val="none"/>
        </w:rPr>
        <w:tab/>
      </w:r>
      <w:r>
        <w:rPr>
          <w:highlight w:val="none"/>
        </w:rPr>
        <w:t xml:space="preserve">K</w:t>
      </w:r>
      <w:r>
        <w:rPr>
          <w:highlight w:val="none"/>
        </w:rPr>
        <w:t xml:space="preserve">alová nádrž je vybavena středobublinným provzdušňovacím roštem, aerace zajišťuje homogenizaci a stabilizaci uskladněného kalu, zdrojem vzduchu pro aeraci kalojemu je Rootsovo dmychadlo umístěné v dmychárně. Ovládání dmychadla je automatické časovým spínače</w:t>
      </w:r>
      <w:r>
        <w:rPr>
          <w:highlight w:val="none"/>
        </w:rPr>
        <w:t xml:space="preserve">m, nebo ruční z rozvaděče, výška hladiny v kalové nádrži je hlídána ultrazvukovou sondou. Nádrž je vybavena gravitačním havarijním přepadem do denitrifikace.</w:t>
      </w:r>
      <w:r>
        <w:rPr>
          <w:highlight w:val="none"/>
        </w:rPr>
      </w:r>
      <w:r>
        <w:rPr>
          <w:highlight w:val="none"/>
        </w:rPr>
      </w:r>
    </w:p>
    <w:p w14:paraId="2875FC2E">
      <w:pPr>
        <w:pBdr/>
        <w:spacing w:line="276" w:lineRule="auto"/>
        <w:ind/>
        <w:rPr/>
      </w:pPr>
      <w:r/>
      <w:r/>
    </w:p>
    <w:p w14:paraId="4DC8BC98">
      <w:pPr>
        <w:pBdr/>
        <w:spacing w:line="276" w:lineRule="auto"/>
        <w:ind/>
        <w:rPr/>
      </w:pPr>
      <w:r>
        <w:rPr>
          <w:highlight w:val="none"/>
        </w:rPr>
        <w:tab/>
        <w:t xml:space="preserve">Z</w:t>
      </w:r>
      <w:r>
        <w:rPr>
          <w:highlight w:val="none"/>
        </w:rPr>
        <w:t xml:space="preserve">ahuštěný aerobně stabilizovaný kal je dále zpracován na zařízení na odvodnění kalu - šnekovém lisu. Pro případný odvoz nezahuštěného aerobně stabilizovaného kalu je z uskladňovací kalové nádrže vyvedeno vně budovy ČOV sací potrubí kalu, ukončené feka konco</w:t>
      </w:r>
      <w:r>
        <w:rPr>
          <w:highlight w:val="none"/>
        </w:rPr>
        <w:t xml:space="preserve">vkou pro napojení savice cisternového vozu. </w:t>
      </w:r>
      <w:r>
        <w:rPr>
          <w:highlight w:val="none"/>
        </w:rPr>
      </w:r>
      <w:r/>
    </w:p>
    <w:p w14:paraId="0F6AD833">
      <w:pPr>
        <w:pBdr/>
        <w:spacing w:line="276" w:lineRule="auto"/>
        <w:ind/>
        <w:rPr/>
      </w:pPr>
      <w:r>
        <w:rPr>
          <w:highlight w:val="none"/>
        </w:rPr>
      </w:r>
      <w:r>
        <w:rPr>
          <w:highlight w:val="none"/>
        </w:rPr>
      </w:r>
      <w:r/>
    </w:p>
    <w:p w14:paraId="49E83E16">
      <w:pPr>
        <w:pBdr/>
        <w:spacing w:line="276" w:lineRule="auto"/>
        <w:ind/>
        <w:rPr>
          <w:b/>
          <w:bCs/>
          <w:u w:val="single"/>
        </w:rPr>
      </w:pPr>
      <w:r>
        <w:rPr>
          <w:b/>
          <w:bCs/>
          <w:highlight w:val="none"/>
          <w:u w:val="single"/>
        </w:rPr>
        <w:t xml:space="preserve"> Linka odvodnění kalu </w:t>
      </w:r>
      <w:r>
        <w:rPr>
          <w:b/>
          <w:bCs/>
          <w:highlight w:val="none"/>
          <w:u w:val="single"/>
        </w:rPr>
      </w:r>
      <w:r>
        <w:rPr>
          <w:b/>
          <w:bCs/>
          <w:u w:val="single"/>
        </w:rPr>
      </w:r>
    </w:p>
    <w:p w14:paraId="2B6139A6">
      <w:pPr>
        <w:pBdr/>
        <w:spacing w:line="276" w:lineRule="auto"/>
        <w:ind/>
        <w:rPr/>
      </w:pPr>
      <w:r>
        <w:rPr>
          <w:highlight w:val="none"/>
        </w:rPr>
        <w:tab/>
        <w:t xml:space="preserve">Odvodnění aerobně stabilizovaného kalu bude prováděno na šnekovém lisu. Kapacita lisu je 2  m3/hod. </w:t>
      </w:r>
      <w:r>
        <w:rPr>
          <w:highlight w:val="none"/>
        </w:rPr>
      </w:r>
      <w:r/>
    </w:p>
    <w:p w14:paraId="623F8DF1">
      <w:pPr>
        <w:pBdr/>
        <w:spacing w:line="276" w:lineRule="auto"/>
        <w:ind/>
        <w:rPr/>
      </w:pPr>
      <w:r>
        <w:rPr>
          <w:highlight w:val="none"/>
        </w:rPr>
        <w:tab/>
        <w:t xml:space="preserve">Součástí dodávky kalolisu je samonasávací vřetenové čerpadlo, flokulační jednotka pro přípravu flokulantu, reakční nádrž a samostatný technologický rozvaděč s kompletní automatikou pro řízení lisování a přípravu flokulantu.</w:t>
      </w:r>
      <w:r>
        <w:rPr>
          <w:highlight w:val="none"/>
        </w:rPr>
      </w:r>
      <w:r/>
    </w:p>
    <w:p w14:paraId="2DB913C9">
      <w:pPr>
        <w:pBdr/>
        <w:spacing w:line="276" w:lineRule="auto"/>
        <w:ind/>
        <w:rPr/>
      </w:pPr>
      <w:r>
        <w:rPr>
          <w:highlight w:val="none"/>
        </w:rPr>
        <w:tab/>
        <w:t xml:space="preserve">Modulární systém je ekologicky šetrné odvodňovací zařízení ke kontinuálnímu odvodnění stabilizovaného kalu. </w:t>
      </w:r>
      <w:r>
        <w:rPr>
          <w:highlight w:val="none"/>
        </w:rPr>
      </w:r>
      <w:r/>
    </w:p>
    <w:p w14:paraId="6214B85B">
      <w:pPr>
        <w:pBdr/>
        <w:spacing w:line="276" w:lineRule="auto"/>
        <w:ind/>
        <w:rPr/>
      </w:pPr>
      <w:r>
        <w:rPr>
          <w:highlight w:val="none"/>
        </w:rPr>
      </w:r>
      <w:r>
        <w:rPr>
          <w:highlight w:val="none"/>
        </w:rPr>
      </w:r>
      <w:r/>
    </w:p>
    <w:p w14:paraId="347546F7">
      <w:pPr>
        <w:pBdr/>
        <w:spacing w:line="276" w:lineRule="auto"/>
        <w:ind/>
        <w:rPr/>
      </w:pPr>
      <w:r>
        <w:rPr>
          <w:highlight w:val="none"/>
        </w:rPr>
        <w:tab/>
      </w:r>
      <w:r>
        <w:rPr>
          <w:b/>
          <w:bCs/>
          <w:highlight w:val="none"/>
          <w:u w:val="single"/>
        </w:rPr>
        <w:t xml:space="preserve">Šnekový lis </w:t>
      </w:r>
      <w:r>
        <w:rPr>
          <w:highlight w:val="none"/>
        </w:rPr>
        <w:t xml:space="preserve">v kompletně celonerezovém provedení bude osazen odvodňovacím pevným sítovým košem s kruhovými otvory děleným v horizontální i vertikální rovině, pro možnou výměnu po jednotlivých sekcích podle potřeby a kvality kalu. Požaduje se dělení minimálně</w:t>
      </w:r>
      <w:r>
        <w:rPr>
          <w:highlight w:val="none"/>
        </w:rPr>
        <w:t xml:space="preserve"> </w:t>
      </w:r>
      <w:r>
        <w:rPr>
          <w:highlight w:val="none"/>
        </w:rPr>
        <w:t xml:space="preserve">na 3 velikosti kruhových otvorů. Plnění kalu do šnekového lisu je řízeno tlakovou sondou na reakční nádrži. Odvodňovaný kal bude posouván pomaloběžným šnekem s kuželovou šnekovou hřídelí, která podél síta kal stlačuje a odvodňuje. Požadované maximální otáč</w:t>
      </w:r>
      <w:r>
        <w:rPr>
          <w:highlight w:val="none"/>
        </w:rPr>
        <w:t xml:space="preserve">ky šneku jsou do 2,0 ot/min. Regulace otáček šneku je realizována frekvenčním měničem. </w:t>
      </w:r>
      <w:r>
        <w:rPr>
          <w:highlight w:val="none"/>
        </w:rPr>
      </w:r>
      <w:r/>
    </w:p>
    <w:p w14:paraId="5D9B1A17">
      <w:pPr>
        <w:pBdr/>
        <w:spacing w:line="276" w:lineRule="auto"/>
        <w:ind/>
        <w:rPr/>
      </w:pPr>
      <w:r>
        <w:rPr>
          <w:highlight w:val="none"/>
        </w:rPr>
      </w:r>
      <w:r>
        <w:rPr>
          <w:highlight w:val="none"/>
        </w:rPr>
      </w:r>
      <w:r/>
    </w:p>
    <w:p w14:paraId="58948E62">
      <w:pPr>
        <w:pBdr/>
        <w:spacing w:line="276" w:lineRule="auto"/>
        <w:ind/>
        <w:rPr>
          <w:highlight w:val="none"/>
        </w:rPr>
      </w:pPr>
      <w:r>
        <w:rPr>
          <w:highlight w:val="none"/>
        </w:rPr>
        <w:tab/>
        <w:t xml:space="preserve">Šnekový lis bude umožňovat oplach odvodňovacího síta bez přerušení vlastního odvodňování kalu – požadováno zařízení pro kontinuální odvodňování kalu. Zařízení musí bezpečně splnit požadavek na reálný provozní výkon 45 ± 5 kg sušiny/h a hydraulický výkon</w:t>
      </w:r>
      <w:r>
        <w:rPr>
          <w:highlight w:val="none"/>
        </w:rPr>
        <w:t xml:space="preserve"> </w:t>
      </w:r>
      <w:r>
        <w:rPr>
          <w:highlight w:val="none"/>
        </w:rPr>
        <w:t xml:space="preserve">3,0 m3/h při obsahu sušiny ve výstupním koláči 22 ± 1,0% a vstupních parametrech kalu – aerobně stabilizovaný směsný komunální kal s obsahem sušiny 2 až 3 hmotnostních %, organický podíl 60 ± 2,0%, vstupní teplota do 30°C; pH 6,5 až 8,5. Spotřeba oplachové</w:t>
      </w:r>
      <w:r>
        <w:rPr>
          <w:highlight w:val="none"/>
        </w:rPr>
        <w:t xml:space="preserve"> vody odvodňovacího síta je 450±90 litrů/den při 10-ti hodinovém denním pracovním cyklu zařízení. </w:t>
      </w:r>
      <w:r>
        <w:rPr>
          <w:highlight w:val="none"/>
        </w:rPr>
      </w:r>
      <w:r>
        <w:rPr>
          <w:highlight w:val="none"/>
        </w:rPr>
      </w:r>
    </w:p>
    <w:p w14:paraId="602DB1F3">
      <w:pPr>
        <w:pBdr/>
        <w:spacing w:line="276" w:lineRule="auto"/>
        <w:ind/>
        <w:rPr>
          <w:highlight w:val="none"/>
        </w:rPr>
      </w:pPr>
      <w:r>
        <w:rPr>
          <w:highlight w:val="none"/>
        </w:rPr>
      </w:r>
      <w:r>
        <w:rPr>
          <w:highlight w:val="none"/>
        </w:rPr>
      </w:r>
      <w:r>
        <w:rPr>
          <w:highlight w:val="none"/>
        </w:rPr>
      </w:r>
    </w:p>
    <w:p w14:paraId="7ABFDFFF">
      <w:pPr>
        <w:pBdr/>
        <w:spacing w:line="276" w:lineRule="auto"/>
        <w:ind/>
        <w:rPr/>
      </w:pPr>
      <w:r>
        <w:rPr>
          <w:highlight w:val="none"/>
        </w:rPr>
        <w:tab/>
        <w:t xml:space="preserve">Pro tento požadovaný výkon je nutné dodržení minimální plochy filtračního síta (bubnu): 1,4m2.</w:t>
      </w:r>
      <w:r>
        <w:rPr>
          <w:highlight w:val="none"/>
        </w:rPr>
      </w:r>
      <w:r/>
    </w:p>
    <w:p w14:paraId="6D6AF19E">
      <w:pPr>
        <w:pBdr/>
        <w:spacing w:line="276" w:lineRule="auto"/>
        <w:ind/>
        <w:rPr/>
      </w:pPr>
      <w:r>
        <w:rPr>
          <w:highlight w:val="none"/>
        </w:rPr>
        <w:t xml:space="preserve">-</w:t>
      </w:r>
      <w:r>
        <w:rPr>
          <w:highlight w:val="none"/>
        </w:rPr>
        <w:t xml:space="preserve">   Součástí dodávky šnekového lisu je nerezová reakční tlaková nádoba s pomaloběžným míchadlem, s řízením otáček frekvenčním měničem pro promíchání kalu a přidávaného organického flokulantu, k zajištění vytvoření kalových vloček. Minimální objem reakční ná</w:t>
      </w:r>
      <w:r>
        <w:rPr>
          <w:highlight w:val="none"/>
        </w:rPr>
        <w:t xml:space="preserve">doby činí 200 l..</w:t>
      </w:r>
      <w:r>
        <w:rPr>
          <w:highlight w:val="none"/>
        </w:rPr>
      </w:r>
      <w:r/>
    </w:p>
    <w:p w14:paraId="5A93A79A">
      <w:pPr>
        <w:pBdr/>
        <w:spacing w:line="276" w:lineRule="auto"/>
        <w:ind/>
        <w:rPr/>
      </w:pPr>
      <w:r>
        <w:rPr>
          <w:highlight w:val="none"/>
        </w:rPr>
        <w:t xml:space="preserve">-   Šnekový lis musí být schopen dosáhnout požadovaného hydraulického a látkového výkonu  při dávkování roztoku flokulantu připraveného emulzního koncentrátu nebo po případné změně provozování i z práškového flokulantu. </w:t>
      </w:r>
      <w:r>
        <w:rPr>
          <w:highlight w:val="none"/>
        </w:rPr>
      </w:r>
      <w:r/>
    </w:p>
    <w:p w14:paraId="6D9579B4">
      <w:pPr>
        <w:pBdr/>
        <w:spacing w:line="276" w:lineRule="auto"/>
        <w:ind/>
        <w:rPr/>
      </w:pPr>
      <w:r>
        <w:rPr>
          <w:highlight w:val="none"/>
        </w:rPr>
        <w:t xml:space="preserve">-</w:t>
      </w:r>
      <w:r>
        <w:rPr>
          <w:highlight w:val="none"/>
        </w:rPr>
        <w:t xml:space="preserve">  Šnekový dopravník odvodněného kalu musí umožnit rovnoměrné naplnění kontejneru. Výška každé nasypané hromady je kontrolována analogovým senzorem a signalizuje se do řídícího systému odvodnění. Dopravník bude mít užitečnou délku (od středu násypky do stře</w:t>
      </w:r>
      <w:r>
        <w:rPr>
          <w:highlight w:val="none"/>
        </w:rPr>
        <w:t xml:space="preserve">du výpadu) min 3,4 m a jeho dodávka se rozumí včetně nutných podpěr a propojení s lisem.</w:t>
      </w:r>
      <w:r>
        <w:rPr>
          <w:highlight w:val="none"/>
        </w:rPr>
      </w:r>
      <w:r/>
    </w:p>
    <w:p w14:paraId="0116716C">
      <w:pPr>
        <w:pBdr/>
        <w:spacing w:line="276" w:lineRule="auto"/>
        <w:ind/>
        <w:rPr/>
      </w:pPr>
      <w:r>
        <w:rPr>
          <w:highlight w:val="none"/>
        </w:rPr>
        <w:t xml:space="preserve">-</w:t>
      </w:r>
      <w:r>
        <w:rPr>
          <w:highlight w:val="none"/>
        </w:rPr>
        <w:t xml:space="preserve">   Dodávka kompletu odvodnění kalu musí umožňovat plně automatický chod a odstavení zařízení bez přítomnosti obsluhy po dosažení nastaveného času provozu, nebo proteklého množství kalu, nebo poruchy na některém ze zařízení, nebo přerušení nátoku kalu z usk</w:t>
      </w:r>
      <w:r>
        <w:rPr>
          <w:highlight w:val="none"/>
        </w:rPr>
        <w:t xml:space="preserve">ladňovací nádrže, popřípadě naplnění kontejneru kalovým koláčem.</w:t>
      </w:r>
      <w:r>
        <w:rPr>
          <w:highlight w:val="none"/>
        </w:rPr>
      </w:r>
      <w:r/>
    </w:p>
    <w:p w14:paraId="54A10549">
      <w:pPr>
        <w:pBdr/>
        <w:spacing w:line="276" w:lineRule="auto"/>
        <w:ind/>
        <w:rPr/>
      </w:pPr>
      <w:r>
        <w:rPr>
          <w:highlight w:val="none"/>
        </w:rPr>
      </w:r>
      <w:r>
        <w:rPr>
          <w:highlight w:val="none"/>
        </w:rPr>
      </w:r>
      <w:r/>
    </w:p>
    <w:p w14:paraId="0E100123">
      <w:pPr>
        <w:pBdr/>
        <w:spacing w:line="276" w:lineRule="auto"/>
        <w:ind/>
        <w:rPr>
          <w:b/>
          <w:bCs/>
          <w:u w:val="single"/>
        </w:rPr>
      </w:pPr>
      <w:r>
        <w:rPr>
          <w:b/>
          <w:bCs/>
          <w:highlight w:val="none"/>
          <w:u w:val="single"/>
        </w:rPr>
        <w:t xml:space="preserve">Jímka na svoz obsahů septiků, nově jímka kalové vody  </w:t>
      </w:r>
      <w:r>
        <w:rPr>
          <w:b/>
          <w:bCs/>
          <w:highlight w:val="none"/>
          <w:u w:val="single"/>
        </w:rPr>
      </w:r>
      <w:r>
        <w:rPr>
          <w:b/>
          <w:bCs/>
          <w:u w:val="single"/>
        </w:rPr>
      </w:r>
    </w:p>
    <w:p w14:paraId="21358597">
      <w:pPr>
        <w:pBdr/>
        <w:spacing w:line="276" w:lineRule="auto"/>
        <w:ind/>
        <w:rPr/>
      </w:pPr>
      <w:r>
        <w:rPr>
          <w:highlight w:val="none"/>
        </w:rPr>
        <w:tab/>
        <w:t xml:space="preserve">F</w:t>
      </w:r>
      <w:r>
        <w:rPr>
          <w:highlight w:val="none"/>
        </w:rPr>
        <w:t xml:space="preserve">ekální jímka, původně určená k akumulaci přivážených fekálních vod ze septiků a žump nikdy nebyla pro tento účel využívána a nebude ani v budoucnu.  Nově bude tato jímka sloužit ke shromažďování kalových a dekantovaných vod a k jejich přečerpávání do rozdě</w:t>
      </w:r>
      <w:r>
        <w:rPr>
          <w:highlight w:val="none"/>
        </w:rPr>
        <w:t xml:space="preserve">lovacího objektu.</w:t>
      </w:r>
      <w:r>
        <w:rPr>
          <w:highlight w:val="none"/>
        </w:rPr>
      </w:r>
      <w:r/>
    </w:p>
    <w:p w14:paraId="0C343F29">
      <w:pPr>
        <w:pBdr/>
        <w:spacing w:line="276" w:lineRule="auto"/>
        <w:ind/>
        <w:rPr/>
      </w:pPr>
      <w:r>
        <w:rPr>
          <w:highlight w:val="none"/>
        </w:rPr>
        <w:t xml:space="preserve"> </w:t>
      </w:r>
      <w:r>
        <w:rPr>
          <w:highlight w:val="none"/>
        </w:rPr>
        <w:tab/>
        <w:t xml:space="preserve">Z  jímky jsou kalové vody ponorným kalovým čerpadlem umístěném na vodících tyčích, čerpány do rozdělovacího objektu a následně k dalšímu čištění na ČOV.</w:t>
      </w:r>
      <w:r>
        <w:rPr>
          <w:highlight w:val="none"/>
        </w:rPr>
      </w:r>
      <w:r/>
    </w:p>
    <w:p w14:paraId="370A4125">
      <w:pPr>
        <w:pBdr/>
        <w:spacing w:line="276" w:lineRule="auto"/>
        <w:ind/>
        <w:rPr/>
      </w:pPr>
      <w:r>
        <w:rPr>
          <w:highlight w:val="none"/>
        </w:rPr>
        <w:t xml:space="preserve">Manipulace s čerpadlem je pomocí přenosného zdvihacího zařízení – otočný jeřábek s ručním kladkostrojem a nerezovým lankem, patka jeřábku je kotvena k podlaze. Bude použit stávající jeřábek míchadla, osazený v nové poloze.</w:t>
      </w:r>
      <w:r>
        <w:rPr>
          <w:highlight w:val="none"/>
        </w:rPr>
      </w:r>
      <w:r/>
    </w:p>
    <w:p w14:paraId="7371DF90">
      <w:pPr>
        <w:pBdr/>
        <w:spacing w:line="276" w:lineRule="auto"/>
        <w:ind/>
        <w:rPr/>
      </w:pPr>
      <w:r>
        <w:rPr>
          <w:highlight w:val="none"/>
        </w:rPr>
        <w:t xml:space="preserve"> </w:t>
      </w:r>
      <w:r>
        <w:rPr>
          <w:highlight w:val="none"/>
        </w:rPr>
      </w:r>
      <w:r/>
    </w:p>
    <w:p w14:paraId="40DEA709">
      <w:pPr>
        <w:pBdr/>
        <w:spacing w:line="276" w:lineRule="auto"/>
        <w:ind/>
        <w:rPr/>
      </w:pPr>
      <w:r>
        <w:rPr>
          <w:highlight w:val="none"/>
        </w:rPr>
        <w:tab/>
        <w:t xml:space="preserve">Kalové vody z jímky budou čerpány řízeně, v závislosti na aktuálním průtoku přiváděných splaškových vod na ČOV kanalizačním systémem.</w:t>
      </w:r>
      <w:r>
        <w:rPr>
          <w:highlight w:val="none"/>
        </w:rPr>
      </w:r>
      <w:r/>
    </w:p>
    <w:p w14:paraId="7FD0CD98">
      <w:pPr>
        <w:pBdr/>
        <w:spacing w:line="276" w:lineRule="auto"/>
        <w:ind/>
        <w:rPr/>
      </w:pPr>
      <w:r>
        <w:rPr>
          <w:highlight w:val="none"/>
        </w:rPr>
      </w:r>
      <w:r>
        <w:rPr>
          <w:highlight w:val="none"/>
        </w:rPr>
      </w:r>
      <w:r/>
    </w:p>
    <w:p w14:paraId="708E119F">
      <w:pPr>
        <w:pBdr/>
        <w:spacing w:line="276" w:lineRule="auto"/>
        <w:ind/>
        <w:rPr>
          <w:b/>
          <w:bCs/>
          <w:u w:val="single"/>
        </w:rPr>
      </w:pPr>
      <w:r>
        <w:rPr>
          <w:b/>
          <w:bCs/>
          <w:highlight w:val="none"/>
          <w:u w:val="single"/>
        </w:rPr>
        <w:t xml:space="preserve">Čerpací stanice na odtoku - stávající</w:t>
      </w:r>
      <w:r>
        <w:rPr>
          <w:b/>
          <w:bCs/>
          <w:highlight w:val="none"/>
          <w:u w:val="single"/>
        </w:rPr>
      </w:r>
      <w:r>
        <w:rPr>
          <w:b/>
          <w:bCs/>
          <w:u w:val="single"/>
        </w:rPr>
      </w:r>
    </w:p>
    <w:p w14:paraId="62A6F4DB">
      <w:pPr>
        <w:pBdr/>
        <w:spacing w:line="276" w:lineRule="auto"/>
        <w:ind/>
        <w:rPr/>
      </w:pPr>
      <w:r>
        <w:rPr>
          <w:highlight w:val="none"/>
        </w:rPr>
        <w:tab/>
        <w:t xml:space="preserve">P</w:t>
      </w:r>
      <w:r>
        <w:rPr>
          <w:highlight w:val="none"/>
        </w:rPr>
        <w:t xml:space="preserve">ro čerpání vyčištěné vody je vybudována podzemní betonová jímka, ve které jsou osazena tři ponorná kalová čerpadla. Čerpadla pracují v režimu 1 + 1 + 1 jsou spínána kaskádovitě od hladin v jímce. Čerpadla jsou v provedení se spouštěcím zařízením a patkovým</w:t>
      </w:r>
      <w:r>
        <w:rPr>
          <w:highlight w:val="none"/>
        </w:rPr>
        <w:t xml:space="preserve"> </w:t>
      </w:r>
      <w:r>
        <w:rPr>
          <w:highlight w:val="none"/>
        </w:rPr>
        <w:t xml:space="preserve">kolenem. Na výtlacích čerpadel jsou osazeny zpětné kulové klapky a roční uzavírací armatury (šoupátka). Jednotlivé výtlaky od čerpadel jsou spojeny v jedno společné potrubí, které je napojeno na vnější potrubní trasu. Přepad z této jímky je přes horizontál</w:t>
      </w:r>
      <w:r>
        <w:rPr>
          <w:highlight w:val="none"/>
        </w:rPr>
        <w:t xml:space="preserve">ně umístěnou zpětnou kulovou klapku do výtlačného potrubí. </w:t>
      </w:r>
      <w:r>
        <w:rPr>
          <w:highlight w:val="none"/>
        </w:rPr>
      </w:r>
      <w:r/>
    </w:p>
    <w:p w14:paraId="06ECAB29">
      <w:pPr>
        <w:pBdr/>
        <w:spacing w:line="276" w:lineRule="auto"/>
        <w:ind/>
        <w:rPr/>
      </w:pPr>
      <w:r>
        <w:rPr>
          <w:highlight w:val="none"/>
        </w:rPr>
      </w:r>
      <w:r>
        <w:rPr>
          <w:highlight w:val="none"/>
        </w:rPr>
      </w:r>
      <w:r/>
    </w:p>
    <w:p w14:paraId="1681D8E7">
      <w:pPr>
        <w:pBdr/>
        <w:spacing w:line="276" w:lineRule="auto"/>
        <w:ind/>
        <w:rPr>
          <w:highlight w:val="none"/>
        </w:rPr>
      </w:pPr>
      <w:r>
        <w:rPr>
          <w:highlight w:val="none"/>
        </w:rPr>
        <w:tab/>
        <w:t xml:space="preserve">Strojně technologické vystrojení čerpací stanice vyhovuje i po intenzifikaci ČOV. Budou provedeny jen drobné změny trubního propojení a bude osazen indukční průtokoměr za účelem měření množství vypouštěných vyčištěných odpadních vod.</w:t>
      </w:r>
      <w:r>
        <w:rPr>
          <w:highlight w:val="none"/>
        </w:rPr>
      </w:r>
      <w:r>
        <w:rPr>
          <w:highlight w:val="none"/>
        </w:rPr>
      </w:r>
    </w:p>
    <w:p w14:paraId="3B520FC1">
      <w:pPr>
        <w:pBdr/>
        <w:spacing w:line="276" w:lineRule="auto"/>
        <w:ind/>
        <w:rPr/>
      </w:pPr>
      <w:r>
        <w:rPr>
          <w:highlight w:val="none"/>
        </w:rPr>
      </w:r>
      <w:r>
        <w:rPr>
          <w:highlight w:val="none"/>
        </w:rPr>
      </w:r>
      <w:r/>
    </w:p>
    <w:p>
      <w:pPr>
        <w:pStyle w:val="1115"/>
        <w:pBdr/>
        <w:spacing w:after="0" w:before="0" w:line="276" w:lineRule="auto"/>
        <w:ind/>
        <w:rPr/>
      </w:pPr>
      <w:r/>
      <w:bookmarkStart w:id="4" w:name="_Toc4"/>
      <w:r>
        <w:t xml:space="preserve">stavební část</w:t>
      </w:r>
      <w:r/>
      <w:bookmarkEnd w:id="4"/>
      <w:r/>
      <w:r/>
    </w:p>
    <w:p>
      <w:pPr>
        <w:pStyle w:val="1113"/>
        <w:pBdr/>
        <w:spacing w:line="276" w:lineRule="auto"/>
        <w:ind w:firstLine="708"/>
        <w:rPr>
          <w:highlight w:val="none"/>
        </w:rPr>
      </w:pPr>
      <w:r>
        <w:t xml:space="preserve">Návrh řešení vychází </w:t>
      </w:r>
      <w:r>
        <w:t xml:space="preserve">z předchozího stupně projektové dokumentace (DUSP) a z vydaného stavebního povolení. Nová budova ČOV bude umístěna vedle stávajícího objektu ČOV. Nová budova ČOV je složena z podzemní a nadzemní části.</w:t>
      </w:r>
      <w:r>
        <w:t xml:space="preserve"> Jedná s</w:t>
      </w:r>
      <w:r>
        <w:t xml:space="preserve">e o vodonepropustnou monolitickou železobetonovou dvoukomorovou nádrž, na které je vybudován provozní objekt. Nádrž je obdélníkového půdorysu o vnějším rozměru 19,1m x 7,3m. Uvnitř jsou dvě komory dosazovacích nádrží stejné velikosti. Výška stěn dosazovací</w:t>
      </w:r>
      <w:r>
        <w:t xml:space="preserve">ch nádrží je 6,3m. Nad střední dělící stěnou mezi komorami je horní deska tvořící podlahu provozního objektu. Samotný provozní objekt je zděný, výška zdiva je 3,0m. Střecha je sedlová o sklonu 40st., výška hřebene je cca 6,0m nad úrovní upraveného terénu. </w:t>
      </w:r>
      <w:r>
        <w:rPr>
          <w:highlight w:val="none"/>
        </w:rPr>
      </w:r>
      <w:r>
        <w:rPr>
          <w:highlight w:val="none"/>
        </w:rPr>
      </w:r>
    </w:p>
    <w:p w14:paraId="4E549C0F">
      <w:pPr>
        <w:pStyle w:val="1113"/>
        <w:pBdr/>
        <w:spacing w:line="276" w:lineRule="auto"/>
        <w:ind w:firstLine="0"/>
        <w:rPr>
          <w:highlight w:val="none"/>
        </w:rPr>
      </w:pPr>
      <w:r>
        <w:rPr>
          <w:highlight w:val="none"/>
        </w:rPr>
      </w:r>
      <w:r>
        <w:rPr>
          <w:highlight w:val="none"/>
        </w:rPr>
      </w:r>
      <w:r>
        <w:rPr>
          <w:highlight w:val="none"/>
        </w:rPr>
      </w:r>
    </w:p>
    <w:p w14:paraId="3A5F6EE5">
      <w:pPr>
        <w:pStyle w:val="1113"/>
        <w:pBdr/>
        <w:spacing w:line="276" w:lineRule="auto"/>
        <w:ind w:firstLine="0"/>
        <w:rPr>
          <w:highlight w:val="none"/>
        </w:rPr>
      </w:pPr>
      <w:r>
        <w:rPr>
          <w:highlight w:val="none"/>
        </w:rPr>
        <w:t xml:space="preserve">Spodní a svrchní stavba je navržena jako ŽB vana viz výkresy sta</w:t>
      </w:r>
      <w:r>
        <w:rPr>
          <w:highlight w:val="none"/>
        </w:rPr>
        <w:t xml:space="preserve">vebně konstrukčního řešení z materiálu odolného proti agresivitě. Vnější povrchy stěn směrem k zemině budou chráněny asfaltovým ochranným nátěrem na asfaltové penetraci. Vnitřní povrchy budou ochráněny proti agresivnímu působení splaškových odpadních vod. </w:t>
      </w:r>
      <w:r>
        <w:rPr>
          <w:highlight w:val="none"/>
        </w:rPr>
      </w:r>
      <w:r>
        <w:rPr>
          <w:highlight w:val="none"/>
        </w:rPr>
      </w:r>
    </w:p>
    <w:p w14:paraId="01C40656">
      <w:pPr>
        <w:pStyle w:val="1113"/>
        <w:pBdr/>
        <w:spacing w:line="276" w:lineRule="auto"/>
        <w:ind w:firstLine="0"/>
        <w:rPr>
          <w:highlight w:val="none"/>
        </w:rPr>
      </w:pPr>
      <w:r>
        <w:rPr>
          <w:highlight w:val="none"/>
        </w:rPr>
      </w:r>
      <w:r>
        <w:rPr>
          <w:highlight w:val="none"/>
        </w:rPr>
      </w:r>
      <w:r>
        <w:rPr>
          <w:highlight w:val="none"/>
        </w:rPr>
      </w:r>
    </w:p>
    <w:p w14:paraId="64BBBA21">
      <w:pPr>
        <w:pStyle w:val="1113"/>
        <w:pBdr/>
        <w:spacing w:line="276" w:lineRule="auto"/>
        <w:ind w:firstLine="0"/>
        <w:rPr>
          <w:highlight w:val="none"/>
        </w:rPr>
      </w:pPr>
      <w:r>
        <w:rPr>
          <w:highlight w:val="none"/>
        </w:rPr>
        <w:t xml:space="preserve">Základová d</w:t>
      </w:r>
      <w:r>
        <w:rPr>
          <w:highlight w:val="none"/>
        </w:rPr>
        <w:t xml:space="preserve">eska bude prodloužena o 400 mm protivztlakovým límcem a bude ukládána na podkladní beton tl. 150 mm na pískovém loži tl . 150 mm. Nad dělící stěnou je navržena ŽB deska podlahy provozního objektu dmychárny a chodby v tl. 300 mm. Spodní část vany bude osaze</w:t>
      </w:r>
      <w:r>
        <w:rPr>
          <w:highlight w:val="none"/>
        </w:rPr>
        <w:t xml:space="preserve">na ve skalních horninách – silurskodevonské vápence. Těžení skalních hornin bude prováděno bez použití trhavin s ohledem na blízkost stávajícího objektu ČOV. Nadzemní část – budova nové aktivace – je navržena jako přízemní zděná budova na obvodových stěnác</w:t>
      </w:r>
      <w:r>
        <w:rPr>
          <w:highlight w:val="none"/>
        </w:rPr>
        <w:t xml:space="preserve">h vany ČOV. Stěny budou z pálených tvárnic tl. 400 mm, vnější omítka bude štuková s dvojnásobným akrylovým nátěrem, vnitřní omítka bude štuková s omyvatelným vodovzdorným nátěrem. Stěny budou odizolovány od betonové vany přitavením asfaltových pásů (IPA). </w:t>
      </w:r>
      <w:r>
        <w:rPr>
          <w:highlight w:val="none"/>
        </w:rPr>
      </w:r>
      <w:r>
        <w:rPr>
          <w:highlight w:val="none"/>
        </w:rPr>
      </w:r>
    </w:p>
    <w:p w14:paraId="1DC44880">
      <w:pPr>
        <w:pStyle w:val="1113"/>
        <w:pBdr/>
        <w:spacing w:line="276" w:lineRule="auto"/>
        <w:ind w:firstLine="0"/>
        <w:rPr>
          <w:highlight w:val="none"/>
        </w:rPr>
      </w:pPr>
      <w:r>
        <w:rPr>
          <w:highlight w:val="none"/>
        </w:rPr>
      </w:r>
      <w:r>
        <w:rPr>
          <w:highlight w:val="none"/>
        </w:rPr>
      </w:r>
      <w:r>
        <w:rPr>
          <w:highlight w:val="none"/>
        </w:rPr>
      </w:r>
    </w:p>
    <w:p w14:paraId="15E3B3E1">
      <w:pPr>
        <w:pStyle w:val="1113"/>
        <w:pBdr/>
        <w:spacing w:line="276" w:lineRule="auto"/>
        <w:ind w:firstLine="0"/>
        <w:rPr>
          <w:highlight w:val="none"/>
        </w:rPr>
      </w:pPr>
      <w:r>
        <w:rPr>
          <w:highlight w:val="none"/>
        </w:rPr>
        <w:t xml:space="preserve">Stěny dmychárny budou z příčkovek z pálené hlíny – tvárnice HELUZ či obdobný materiál tl. 150 mm, vnitřní omítka vápenocementová štuková s nátěrem Primalex na penetraci, vnější omítka cementová hlazená, s vodovzdorným nátěrem na penetraci. </w:t>
      </w:r>
      <w:r>
        <w:rPr>
          <w:highlight w:val="none"/>
        </w:rPr>
      </w:r>
      <w:r>
        <w:rPr>
          <w:highlight w:val="none"/>
        </w:rPr>
      </w:r>
    </w:p>
    <w:p w14:paraId="505ED30B">
      <w:pPr>
        <w:pStyle w:val="1113"/>
        <w:pBdr/>
        <w:spacing w:line="276" w:lineRule="auto"/>
        <w:ind w:firstLine="0"/>
        <w:rPr>
          <w:highlight w:val="none"/>
        </w:rPr>
      </w:pPr>
      <w:r>
        <w:rPr>
          <w:highlight w:val="none"/>
        </w:rPr>
        <w:t xml:space="preserve">Strop dmychárny bude zavěšená sádrokartonová konstrukce, sádrokarton pro vlhké prostředí tl. 14 mm. Čistá podlaha v dmychárně a chodbě z betonové mazaniny S3Oo tl. 50 mm, uložené na asf. Izolaci (IPA), povrch nátěr IZOBAN – omyvatelný. </w:t>
      </w:r>
      <w:r>
        <w:rPr>
          <w:highlight w:val="none"/>
        </w:rPr>
      </w:r>
      <w:r>
        <w:rPr>
          <w:highlight w:val="none"/>
        </w:rPr>
      </w:r>
    </w:p>
    <w:p w14:paraId="707CDF7B">
      <w:pPr>
        <w:pStyle w:val="1113"/>
        <w:pBdr/>
        <w:spacing w:line="276" w:lineRule="auto"/>
        <w:ind w:firstLine="0"/>
        <w:rPr>
          <w:highlight w:val="none"/>
        </w:rPr>
      </w:pPr>
      <w:r>
        <w:rPr>
          <w:highlight w:val="none"/>
        </w:rPr>
        <w:t xml:space="preserve">Do objektu bude přivedena vodovodní přípojka PE1“ s připojením kohoutu se šroubením na hadici a s instalací bude pro ostřik kalolisu</w:t>
      </w:r>
      <w:r>
        <w:rPr>
          <w:highlight w:val="none"/>
        </w:rPr>
        <w:t xml:space="preserve"> v chodbě. </w:t>
      </w:r>
      <w:r>
        <w:rPr>
          <w:highlight w:val="none"/>
        </w:rPr>
      </w:r>
      <w:r>
        <w:rPr>
          <w:highlight w:val="none"/>
        </w:rPr>
      </w:r>
    </w:p>
    <w:p w14:paraId="06922292">
      <w:pPr>
        <w:pStyle w:val="1113"/>
        <w:pBdr/>
        <w:spacing w:line="276" w:lineRule="auto"/>
        <w:ind w:firstLine="0"/>
        <w:rPr>
          <w:highlight w:val="none"/>
        </w:rPr>
      </w:pPr>
      <w:r>
        <w:rPr>
          <w:highlight w:val="none"/>
        </w:rPr>
        <w:t xml:space="preserve">Střecha sedlová 40st. Sklonu, latění a betonová máčená taška červená, větrací tašky podél hřebenu celkem 40 ks. Nosná konstrukce střechy je tvořena plnostěnnými vaznicemi – trámy, variantně sbíjenými vazníky. </w:t>
      </w:r>
      <w:r>
        <w:rPr>
          <w:highlight w:val="none"/>
        </w:rPr>
      </w:r>
      <w:r>
        <w:rPr>
          <w:highlight w:val="none"/>
        </w:rPr>
      </w:r>
    </w:p>
    <w:p w14:paraId="76F0248C">
      <w:pPr>
        <w:pStyle w:val="1113"/>
        <w:pBdr/>
        <w:spacing w:line="276" w:lineRule="auto"/>
        <w:ind w:firstLine="0"/>
        <w:rPr>
          <w:highlight w:val="none"/>
        </w:rPr>
      </w:pPr>
      <w:r>
        <w:rPr>
          <w:highlight w:val="none"/>
        </w:rPr>
      </w:r>
      <w:r>
        <w:rPr>
          <w:highlight w:val="none"/>
        </w:rPr>
      </w:r>
      <w:r>
        <w:rPr>
          <w:highlight w:val="none"/>
        </w:rPr>
      </w:r>
    </w:p>
    <w:p w14:paraId="36185A1E">
      <w:pPr>
        <w:pStyle w:val="1113"/>
        <w:pBdr/>
        <w:spacing w:line="276" w:lineRule="auto"/>
        <w:ind w:firstLine="0"/>
        <w:rPr>
          <w:highlight w:val="none"/>
        </w:rPr>
      </w:pPr>
      <w:r>
        <w:rPr>
          <w:highlight w:val="none"/>
        </w:rPr>
        <w:t xml:space="preserve">Okna budou plastová, dvojkřídlá, zdvojená, 1200/600 mm, dveře plastové 1000/1970, venkovní bezpečnostní, vnitřní běžného typu. </w:t>
      </w:r>
      <w:r>
        <w:rPr>
          <w:highlight w:val="none"/>
        </w:rPr>
      </w:r>
      <w:r>
        <w:rPr>
          <w:highlight w:val="none"/>
        </w:rPr>
      </w:r>
    </w:p>
    <w:p w14:paraId="4475C129">
      <w:pPr>
        <w:pStyle w:val="1113"/>
        <w:pBdr/>
        <w:spacing w:line="276" w:lineRule="auto"/>
        <w:ind w:firstLine="0"/>
        <w:rPr>
          <w:highlight w:val="none"/>
        </w:rPr>
      </w:pPr>
      <w:r>
        <w:rPr>
          <w:highlight w:val="none"/>
        </w:rPr>
      </w:r>
      <w:r>
        <w:rPr>
          <w:highlight w:val="none"/>
        </w:rPr>
      </w:r>
      <w:r>
        <w:rPr>
          <w:highlight w:val="none"/>
        </w:rPr>
      </w:r>
    </w:p>
    <w:p w14:paraId="2634AECD">
      <w:pPr>
        <w:pStyle w:val="1113"/>
        <w:pBdr/>
        <w:spacing w:line="276" w:lineRule="auto"/>
        <w:ind w:firstLine="0"/>
        <w:rPr>
          <w:highlight w:val="none"/>
        </w:rPr>
      </w:pPr>
      <w:r>
        <w:rPr>
          <w:highlight w:val="none"/>
        </w:rPr>
        <w:t xml:space="preserve">Budova bude opatřena hromosvodem. </w:t>
      </w:r>
      <w:r>
        <w:rPr>
          <w:highlight w:val="none"/>
        </w:rPr>
      </w:r>
      <w:r>
        <w:rPr>
          <w:highlight w:val="none"/>
        </w:rPr>
      </w:r>
    </w:p>
    <w:p w14:paraId="3DF088BF">
      <w:pPr>
        <w:pStyle w:val="1113"/>
        <w:pBdr/>
        <w:spacing w:line="276" w:lineRule="auto"/>
        <w:ind w:firstLine="0"/>
        <w:rPr>
          <w:highlight w:val="none"/>
        </w:rPr>
      </w:pPr>
      <w:r>
        <w:rPr>
          <w:highlight w:val="none"/>
        </w:rPr>
        <w:t xml:space="preserve">Okapy budou svedeny do nově navržené deš</w:t>
      </w:r>
      <w:r>
        <w:rPr>
          <w:highlight w:val="none"/>
        </w:rPr>
        <w:t xml:space="preserve">ťové kanalizace PVC DN 125 podél budovy, vyvedené do vsakovacího drénu dl. 10 m, šíře 1,0 m a hl. 1,0 m, výpl</w:t>
      </w:r>
      <w:r>
        <w:rPr>
          <w:highlight w:val="none"/>
        </w:rPr>
        <w:t xml:space="preserve">ň hrubým kamenivem 125 mm a více, obalit do geotextilie 300g/m2. </w:t>
      </w:r>
      <w:r>
        <w:rPr>
          <w:highlight w:val="none"/>
        </w:rPr>
      </w:r>
      <w:r>
        <w:rPr>
          <w:highlight w:val="none"/>
        </w:rPr>
      </w:r>
    </w:p>
    <w:p w14:paraId="09FCDDF8">
      <w:pPr>
        <w:pStyle w:val="1113"/>
        <w:pBdr/>
        <w:spacing w:line="276" w:lineRule="auto"/>
        <w:ind w:firstLine="708"/>
        <w:rPr>
          <w:highlight w:val="none"/>
        </w:rPr>
      </w:pPr>
      <w:r>
        <w:rPr>
          <w:highlight w:val="none"/>
        </w:rPr>
      </w:r>
      <w:r>
        <w:rPr>
          <w:highlight w:val="none"/>
        </w:rPr>
      </w:r>
      <w:r>
        <w:rPr>
          <w:highlight w:val="none"/>
        </w:rPr>
      </w:r>
    </w:p>
    <w:p w14:paraId="5A44C833">
      <w:pPr>
        <w:pStyle w:val="1116"/>
        <w:pBdr/>
        <w:spacing w:after="0" w:before="0" w:line="276" w:lineRule="auto"/>
        <w:ind/>
        <w:rPr/>
      </w:pPr>
      <w:r/>
      <w:bookmarkStart w:id="5" w:name="_Toc5"/>
      <w:r>
        <w:t xml:space="preserve">VÝKOPY</w:t>
      </w:r>
      <w:r/>
      <w:bookmarkEnd w:id="5"/>
      <w:r/>
      <w:r/>
    </w:p>
    <w:p w14:paraId="72E321B8">
      <w:pPr>
        <w:pBdr/>
        <w:spacing w:line="276" w:lineRule="auto"/>
        <w:ind/>
        <w:rPr/>
      </w:pPr>
      <w:r>
        <w:tab/>
        <w:t xml:space="preserve">Do hloubky cca 3,0m lze uvažovat se svahováním výkopů ve sklonu 1:0,5 (odklon od horizontály 63st.), ve skalním podkladě pak až téměř 1:0,2 (odklon od horizontály 78st.)</w:t>
      </w:r>
      <w:r>
        <w:t xml:space="preserve"> </w:t>
      </w:r>
      <w:r/>
    </w:p>
    <w:p>
      <w:pPr>
        <w:pStyle w:val="1113"/>
        <w:pBdr/>
        <w:spacing w:line="276" w:lineRule="auto"/>
        <w:ind w:firstLine="708"/>
        <w:rPr/>
      </w:pPr>
      <w:r/>
      <w:r/>
    </w:p>
    <w:p>
      <w:pPr>
        <w:pStyle w:val="1116"/>
        <w:pBdr/>
        <w:spacing w:after="0" w:before="0" w:line="276" w:lineRule="auto"/>
        <w:ind/>
        <w:rPr/>
      </w:pPr>
      <w:r/>
      <w:bookmarkStart w:id="6" w:name="_Toc6"/>
      <w:r>
        <w:t xml:space="preserve">NÁDRŽE – TLOUŠ</w:t>
      </w:r>
      <w:r>
        <w:t xml:space="preserve">ŤKY KONSTRUKCÍ</w:t>
      </w:r>
      <w:r/>
      <w:bookmarkEnd w:id="6"/>
      <w:r/>
      <w:r/>
    </w:p>
    <w:p>
      <w:pPr>
        <w:pStyle w:val="1113"/>
        <w:pBdr/>
        <w:spacing w:line="276" w:lineRule="auto"/>
        <w:ind w:firstLine="708"/>
        <w:rPr/>
      </w:pPr>
      <w:r>
        <w:rPr>
          <w:highlight w:val="none"/>
        </w:rPr>
        <w:t xml:space="preserve">Nádrže mají dno i stěny o tlouš</w:t>
      </w:r>
      <w:r>
        <w:rPr>
          <w:highlight w:val="none"/>
        </w:rPr>
        <w:t xml:space="preserve">ťce 400mm. </w:t>
      </w:r>
      <w:r/>
    </w:p>
    <w:p w14:paraId="0AE286A2">
      <w:pPr>
        <w:pStyle w:val="1113"/>
        <w:pBdr/>
        <w:spacing w:line="276" w:lineRule="auto"/>
        <w:ind/>
        <w:rPr>
          <w:highlight w:val="none"/>
        </w:rPr>
      </w:pPr>
      <w:r>
        <w:rPr>
          <w:highlight w:val="none"/>
        </w:rPr>
      </w:r>
      <w:r>
        <w:rPr>
          <w:highlight w:val="none"/>
        </w:rPr>
      </w:r>
      <w:r>
        <w:rPr>
          <w:highlight w:val="none"/>
        </w:rPr>
      </w:r>
    </w:p>
    <w:p w14:paraId="26A5270D">
      <w:pPr>
        <w:pStyle w:val="1116"/>
        <w:pBdr/>
        <w:spacing w:after="0" w:before="0" w:line="276" w:lineRule="auto"/>
        <w:ind/>
        <w:rPr/>
      </w:pPr>
      <w:r/>
      <w:bookmarkStart w:id="7" w:name="_Toc7"/>
      <w:r>
        <w:t xml:space="preserve">ZALOŽENÍ OBJEKTU</w:t>
      </w:r>
      <w:r/>
      <w:bookmarkEnd w:id="7"/>
      <w:r/>
      <w:r/>
    </w:p>
    <w:p w14:paraId="5B5F60C1">
      <w:pPr>
        <w:pStyle w:val="1113"/>
        <w:pBdr/>
        <w:spacing w:line="276" w:lineRule="auto"/>
        <w:ind/>
        <w:rPr>
          <w:highlight w:val="none"/>
        </w:rPr>
      </w:pPr>
      <w:r>
        <w:tab/>
        <w:t xml:space="preserve">Vzhledem k možné různorodosti zvětrání skalního podloží je navržen štěrkový polštář o mocnosti 200mm hutněný na Edef&gt;25MPa. V případě výskytu spodní vody bude provedeno její svedení dr</w:t>
      </w:r>
      <w:r>
        <w:t xml:space="preserve">enáží ve vrstvách polštáře do čerpacích jímek na okrajích výkopů. Na polštář bude proveden podkladní beton o tl. 100mm, beton C8/10 nebo vyšší pevnosti. Mezi podkladní beton a základovou desku bude uložena dvojice asfaltových pásů s papírovou vložkou, umož</w:t>
      </w:r>
      <w:r>
        <w:t xml:space="preserve">ňující volné smrš</w:t>
      </w:r>
      <w:r>
        <w:t xml:space="preserve">ťování čerstvě vybetonovaného dna nádrží a tím zmenšení a snížení výskytu trhlin vlivem omezení přetvoření. </w:t>
      </w:r>
      <w:r>
        <w:rPr>
          <w:highlight w:val="none"/>
        </w:rPr>
      </w:r>
    </w:p>
    <w:p w14:paraId="3FB0FD12">
      <w:pPr>
        <w:pStyle w:val="1113"/>
        <w:pBdr/>
        <w:spacing w:line="276" w:lineRule="auto"/>
        <w:ind/>
        <w:rPr>
          <w:highlight w:val="none"/>
        </w:rPr>
      </w:pPr>
      <w:r>
        <w:rPr>
          <w:highlight w:val="none"/>
        </w:rPr>
        <w:tab/>
      </w:r>
      <w:r>
        <w:rPr>
          <w:highlight w:val="none"/>
        </w:rPr>
        <w:t xml:space="preserve">Dle ČSN EN 1997-1 je uvažován zemní tlak v klidu, uvažovaná výška zásypu 6,20m kolem celé nádrže. Není uvažováno s výskytem podzemní vody. </w:t>
      </w:r>
      <w:r>
        <w:rPr>
          <w:highlight w:val="none"/>
        </w:rPr>
      </w:r>
    </w:p>
    <w:p w14:paraId="4F202BDA">
      <w:pPr>
        <w:pStyle w:val="1113"/>
        <w:pBdr/>
        <w:spacing w:line="276" w:lineRule="auto"/>
        <w:ind/>
        <w:rPr>
          <w:highlight w:val="none"/>
        </w:rPr>
      </w:pPr>
      <w:r>
        <w:rPr>
          <w:highlight w:val="none"/>
        </w:rPr>
        <w:tab/>
        <w:t xml:space="preserve">Výška hladiny je uvažována 5,50m nad horní hranou dna nádrží, objemová tíha 10kN/m3. Pro určení hydrostatického tlaku na vnitřní stěny jsou zavedeny dva zatěžovací</w:t>
      </w:r>
      <w:r>
        <w:rPr>
          <w:highlight w:val="none"/>
        </w:rPr>
        <w:t xml:space="preserve"> stavy, kdy je voda bu</w:t>
      </w:r>
      <w:r>
        <w:rPr>
          <w:highlight w:val="none"/>
        </w:rPr>
        <w:t xml:space="preserve">ď pouze v jedné z krajních komor nebo v obou komorách zárove</w:t>
      </w:r>
      <w:r>
        <w:rPr>
          <w:highlight w:val="none"/>
        </w:rPr>
        <w:t xml:space="preserve">ň. </w:t>
      </w:r>
      <w:r>
        <w:rPr>
          <w:highlight w:val="none"/>
        </w:rPr>
      </w:r>
    </w:p>
    <w:p w14:paraId="49439631">
      <w:pPr>
        <w:pStyle w:val="1113"/>
        <w:pBdr/>
        <w:spacing w:line="276" w:lineRule="auto"/>
        <w:ind/>
        <w:rPr/>
      </w:pPr>
      <w:r/>
      <w:r/>
    </w:p>
    <w:p w14:paraId="1EC1FBDC">
      <w:pPr>
        <w:pStyle w:val="1113"/>
        <w:pBdr/>
        <w:spacing w:line="276" w:lineRule="auto"/>
        <w:ind/>
        <w:rPr>
          <w:b/>
          <w:bCs/>
          <w:color w:val="000000" w:themeColor="text1"/>
          <w:highlight w:val="none"/>
          <w:u w:val="single"/>
        </w:rPr>
      </w:pPr>
      <w:r>
        <w:rPr>
          <w:b/>
          <w:bCs/>
          <w:color w:val="000000" w:themeColor="text1"/>
          <w:highlight w:val="none"/>
          <w:u w:val="single"/>
        </w:rPr>
        <w:t xml:space="preserve">Materiály:</w:t>
      </w:r>
      <w:r>
        <w:rPr>
          <w:b/>
          <w:bCs/>
          <w:color w:val="000000" w:themeColor="text1"/>
          <w:u w:val="single"/>
        </w:rPr>
      </w:r>
      <w:r>
        <w:rPr>
          <w:b/>
          <w:bCs/>
          <w:color w:val="000000" w:themeColor="text1"/>
          <w:highlight w:val="none"/>
          <w:u w:val="single"/>
        </w:rPr>
      </w:r>
    </w:p>
    <w:p w14:paraId="3A9D80DA">
      <w:pPr>
        <w:pStyle w:val="1113"/>
        <w:pBdr/>
        <w:spacing w:line="276" w:lineRule="auto"/>
        <w:ind/>
        <w:rPr>
          <w:highlight w:val="none"/>
        </w:rPr>
      </w:pPr>
      <w:r>
        <w:rPr>
          <w:highlight w:val="none"/>
        </w:rPr>
        <w:t xml:space="preserve">Použitý beton bude pro všechny ŽB konstrukce nádrže beton dle ČSN EN 206 a ČSN P 73 2404 C25/30 pro prostředí X</w:t>
      </w:r>
      <w:r>
        <w:rPr>
          <w:highlight w:val="none"/>
        </w:rPr>
        <w:t xml:space="preserve">A1, XC4 – slabě chemicky agresivní prostředí, beton střídavě suchý nebo značně nasycený vodou. Nutné je dodržet mezní hodnoty pro složení betonu podle ČSN P 73 2404. Cement bude použit strusko-portlandský CEM II/A-S 42,5 N, dle ČSN EN 197-1. Beton bude spl</w:t>
      </w:r>
      <w:r>
        <w:rPr>
          <w:highlight w:val="none"/>
        </w:rPr>
        <w:t xml:space="preserve">ňovat kritéria vodonepropustnosti podle ČSN EN 12390-8 na max. Průsak 50 mm. </w:t>
      </w:r>
      <w:r>
        <w:rPr>
          <w:highlight w:val="none"/>
        </w:rPr>
      </w:r>
      <w:r>
        <w:rPr>
          <w:highlight w:val="none"/>
        </w:rPr>
      </w:r>
    </w:p>
    <w:p w14:paraId="73727719">
      <w:pPr>
        <w:pStyle w:val="1113"/>
        <w:pBdr/>
        <w:spacing w:line="276" w:lineRule="auto"/>
        <w:ind/>
        <w:rPr>
          <w:highlight w:val="none"/>
        </w:rPr>
      </w:pPr>
      <w:r>
        <w:rPr>
          <w:highlight w:val="none"/>
        </w:rPr>
      </w:r>
      <w:r>
        <w:rPr>
          <w:highlight w:val="none"/>
        </w:rPr>
      </w:r>
      <w:r>
        <w:rPr>
          <w:highlight w:val="none"/>
        </w:rPr>
      </w:r>
    </w:p>
    <w:p w14:paraId="5788FE7C">
      <w:pPr>
        <w:pStyle w:val="1113"/>
        <w:pBdr/>
        <w:spacing w:line="276" w:lineRule="auto"/>
        <w:ind/>
        <w:rPr>
          <w:b/>
          <w:bCs/>
          <w:highlight w:val="none"/>
          <w:u w:val="single"/>
        </w:rPr>
      </w:pPr>
      <w:r>
        <w:rPr>
          <w:b/>
          <w:bCs/>
          <w:highlight w:val="none"/>
          <w:u w:val="single"/>
        </w:rPr>
      </w:r>
      <w:r>
        <w:rPr>
          <w:b/>
          <w:bCs/>
          <w:highlight w:val="none"/>
          <w:u w:val="single"/>
        </w:rPr>
        <w:t xml:space="preserve">Obecné požadavky na betony/betonové konstrukce:</w:t>
      </w:r>
      <w:r>
        <w:rPr>
          <w:b/>
          <w:bCs/>
          <w:highlight w:val="none"/>
          <w:u w:val="single"/>
        </w:rPr>
      </w:r>
      <w:r>
        <w:rPr>
          <w:b/>
          <w:bCs/>
          <w:highlight w:val="none"/>
          <w:u w:val="single"/>
        </w:rPr>
      </w:r>
    </w:p>
    <w:p w14:paraId="15680463">
      <w:pPr>
        <w:pStyle w:val="1113"/>
        <w:pBdr/>
        <w:spacing w:line="276" w:lineRule="auto"/>
        <w:ind/>
        <w:rPr>
          <w:highlight w:val="none"/>
        </w:rPr>
      </w:pPr>
      <w:r>
        <w:rPr>
          <w:highlight w:val="none"/>
        </w:rPr>
      </w:r>
      <w:r>
        <w:rPr>
          <w:b/>
          <w:bCs/>
          <w:highlight w:val="none"/>
        </w:rPr>
        <w:t xml:space="preserve">Pracovní spáry </w:t>
      </w:r>
      <w:r>
        <w:rPr>
          <w:highlight w:val="none"/>
        </w:rPr>
        <w:t xml:space="preserve">– je předpokládáno, že aktivační nádrže budou betonovány ve třech etapách – dno, obvodové stěny společně s vnitřními stěnami a horní deska. Vodotěsnost pracovní spáry mezi dnem a stěnami bude zajištěna pomocí bitumenových plechových pásů. </w:t>
      </w:r>
      <w:r>
        <w:rPr>
          <w:highlight w:val="none"/>
        </w:rPr>
      </w:r>
      <w:r>
        <w:rPr>
          <w:highlight w:val="none"/>
        </w:rPr>
      </w:r>
    </w:p>
    <w:p w14:paraId="703409A8">
      <w:pPr>
        <w:pStyle w:val="1113"/>
        <w:pBdr/>
        <w:spacing w:line="276" w:lineRule="auto"/>
        <w:ind/>
        <w:rPr>
          <w:highlight w:val="none"/>
        </w:rPr>
      </w:pPr>
      <w:r>
        <w:rPr>
          <w:b/>
          <w:bCs/>
          <w:highlight w:val="none"/>
        </w:rPr>
        <w:t xml:space="preserve">Prostupy</w:t>
      </w:r>
      <w:r>
        <w:rPr>
          <w:highlight w:val="none"/>
        </w:rPr>
        <w:t xml:space="preserve"> – řešení prostupů bude dohodnuto s dodavatelskou firmou. Předpokladem je technologie z</w:t>
      </w:r>
      <w:r>
        <w:rPr>
          <w:highlight w:val="none"/>
        </w:rPr>
        <w:t xml:space="preserve"> PVC potrubí. V případě prostupů PVC trubkami bude napojovací část trubky s hrdlem vložena do bednění a obalena bentonitovým páskem. V případě potřeby napojení i na straně bez hrdla, bude toto zajištěno obalením části trubky mirelonem – viz statická část. </w:t>
      </w:r>
      <w:r>
        <w:rPr>
          <w:highlight w:val="none"/>
        </w:rPr>
      </w:r>
      <w:r>
        <w:rPr>
          <w:highlight w:val="none"/>
        </w:rPr>
      </w:r>
    </w:p>
    <w:p w14:paraId="39CCBFE1">
      <w:pPr>
        <w:pStyle w:val="1113"/>
        <w:pBdr/>
        <w:spacing w:line="276" w:lineRule="auto"/>
        <w:ind/>
        <w:rPr>
          <w:highlight w:val="none"/>
        </w:rPr>
      </w:pPr>
      <w:r>
        <w:rPr>
          <w:b/>
          <w:bCs/>
          <w:highlight w:val="none"/>
        </w:rPr>
        <w:t xml:space="preserve">Zimní opatření </w:t>
      </w:r>
      <w:r>
        <w:rPr>
          <w:highlight w:val="none"/>
        </w:rPr>
        <w:t xml:space="preserve">– pokud teplota při betonáži, resp. Během 36 hodin po betonáži poklesne pod bod mrazu, je nutné použít předehřátý beton, ten nesmí mít nižší teplotu než 7st., nutné je i použití přísady proti tvorbě kry</w:t>
      </w:r>
      <w:r>
        <w:rPr>
          <w:highlight w:val="none"/>
        </w:rPr>
        <w:t xml:space="preserve">stalů ledu a vzhledem pomalejšímu tuhnutí, odbednění provést min. Po 7 dnech. Po dobu tuhnutí zamezit poklesu teploty povrchu betonu pod 0 st., zamezit sněžení, resp. Vysušení větrem pomocí vhodného zakrytí konstrukce, příp. Využít i polystyrenové rohože. </w:t>
      </w:r>
      <w:r>
        <w:rPr>
          <w:highlight w:val="none"/>
        </w:rPr>
      </w:r>
      <w:r>
        <w:rPr>
          <w:highlight w:val="none"/>
        </w:rPr>
      </w:r>
    </w:p>
    <w:p w14:paraId="16D4CFA8">
      <w:pPr>
        <w:pStyle w:val="1113"/>
        <w:pBdr/>
        <w:spacing w:line="276" w:lineRule="auto"/>
        <w:ind/>
        <w:rPr>
          <w:highlight w:val="none"/>
        </w:rPr>
      </w:pPr>
      <w:r>
        <w:rPr>
          <w:highlight w:val="none"/>
        </w:rPr>
      </w:r>
      <w:r>
        <w:rPr>
          <w:b/>
          <w:bCs/>
          <w:highlight w:val="none"/>
        </w:rPr>
        <w:t xml:space="preserve">Ukládání betonu</w:t>
      </w:r>
      <w:r>
        <w:rPr>
          <w:highlight w:val="none"/>
        </w:rPr>
        <w:t xml:space="preserve"> – bude prováděno pomocí pumpy a trubky tak, aby nedošlo k padání betonu z</w:t>
      </w:r>
      <w:r>
        <w:rPr>
          <w:highlight w:val="none"/>
        </w:rPr>
        <w:t xml:space="preserve"> výšky větší než 1,0m. Rozmístění spon ve stěnách bude provedeno tak, aby bylo možné čerstvý beton pomocí rukávu dostat až do spodních částí stěny. Čerstvý beton bude řádně zvibrován ponorným vibratorem. Teplota ukládaného betonu nesmí být vyšší než 25st. </w:t>
      </w:r>
      <w:r>
        <w:rPr>
          <w:highlight w:val="none"/>
        </w:rPr>
      </w:r>
      <w:r>
        <w:rPr>
          <w:highlight w:val="none"/>
        </w:rPr>
      </w:r>
    </w:p>
    <w:p w14:paraId="15E2C4B8">
      <w:pPr>
        <w:pStyle w:val="1113"/>
        <w:pBdr/>
        <w:spacing w:line="276" w:lineRule="auto"/>
        <w:ind/>
        <w:rPr>
          <w:highlight w:val="none"/>
        </w:rPr>
      </w:pPr>
      <w:r>
        <w:rPr>
          <w:b/>
          <w:bCs/>
          <w:highlight w:val="none"/>
        </w:rPr>
        <w:t xml:space="preserve">Ošetřování betonu </w:t>
      </w:r>
      <w:r>
        <w:rPr>
          <w:highlight w:val="none"/>
        </w:rPr>
        <w:t xml:space="preserve">– délka ošetřování závisí na povrchové teplotě a rychlosti nárůstu pevnosti. Min. Doba dle ČSN EN 136</w:t>
      </w:r>
      <w:r>
        <w:rPr>
          <w:highlight w:val="none"/>
        </w:rPr>
        <w:t xml:space="preserve">70 jsou 4 dny při předpokladu středního nárůstu pevnosti a teplotě povrchu 10-15st. Delší doba nárůstu pevnosti, resp. Nižší povrchová teplota znamenají prodloužení doby ošetřování. Ošetřováním se rozumí kropení povrchu betonu vodou, jejíž teplota musí spl</w:t>
      </w:r>
      <w:r>
        <w:rPr>
          <w:highlight w:val="none"/>
        </w:rPr>
        <w:t xml:space="preserve">ňovat limity ČSN EN 13670 - 1. V případě odbednění po méně než 4 dnech, je nutné betonovou konstrukci chránit před nadměrným únikem tepla a vody z jejího povrchu. Lze použít např. Polystyrenové rohože, mimo zimní období geotextilie. </w:t>
      </w:r>
      <w:r>
        <w:rPr>
          <w:highlight w:val="none"/>
        </w:rPr>
      </w:r>
      <w:r>
        <w:rPr>
          <w:highlight w:val="none"/>
        </w:rPr>
      </w:r>
    </w:p>
    <w:p w14:paraId="55B228F3">
      <w:pPr>
        <w:pStyle w:val="1113"/>
        <w:pBdr/>
        <w:spacing w:line="276" w:lineRule="auto"/>
        <w:ind/>
        <w:rPr>
          <w:highlight w:val="none"/>
        </w:rPr>
      </w:pPr>
      <w:r>
        <w:rPr>
          <w:highlight w:val="none"/>
        </w:rPr>
      </w:r>
      <w:r>
        <w:rPr>
          <w:b/>
          <w:bCs/>
          <w:highlight w:val="none"/>
        </w:rPr>
        <w:t xml:space="preserve">Utěsnění průsaků</w:t>
      </w:r>
      <w:r>
        <w:rPr>
          <w:highlight w:val="none"/>
        </w:rPr>
        <w:t xml:space="preserve"> – po 14 dnech od betonáže budou utěsněny drobné otvory, které si vyžaduje technologie</w:t>
      </w:r>
      <w:r>
        <w:rPr>
          <w:highlight w:val="none"/>
        </w:rPr>
        <w:t xml:space="preserve"> systémového bednění. Způsob utěsnění bude odpovídat postupům a doporučení dodavatele bednění. V případě výskytu hnízd a kavern v důsledku nedokonalého vibrování bude navržen nejvhodnější způsob sanace podle rozsahu poškození. Nutná konzultace se statikem.</w:t>
      </w:r>
      <w:r>
        <w:rPr>
          <w:highlight w:val="none"/>
        </w:rPr>
      </w:r>
      <w:r>
        <w:rPr>
          <w:highlight w:val="none"/>
        </w:rPr>
      </w:r>
    </w:p>
    <w:p w14:paraId="693ECF52">
      <w:pPr>
        <w:pStyle w:val="1113"/>
        <w:pBdr/>
        <w:spacing w:line="276" w:lineRule="auto"/>
        <w:ind/>
        <w:rPr>
          <w:highlight w:val="none"/>
        </w:rPr>
      </w:pPr>
      <w:r>
        <w:rPr>
          <w:b/>
          <w:bCs/>
          <w:highlight w:val="none"/>
        </w:rPr>
        <w:t xml:space="preserve">Zkouška těsnosti </w:t>
      </w:r>
      <w:r>
        <w:rPr>
          <w:highlight w:val="none"/>
        </w:rPr>
        <w:t xml:space="preserve">– zkušební hladina při zkoušce vodotěsnosti nádrží je nejvyšší hladina vody stanovená projektem technologie. </w:t>
      </w:r>
      <w:r>
        <w:rPr>
          <w:highlight w:val="none"/>
        </w:rPr>
        <w:t xml:space="preserve">Zkouška smí být prováděna nejdříve po 12 dnech od dokončení betonáže, kdy teoreticky lze dosáhnout 80% pevnosti betonu, což je pro provedení zkoušky dostatečné. Pevnost bude každopádně potvrzena průkazními zkouškami na odebraných zkušebních tělesech. </w:t>
      </w:r>
      <w:r>
        <w:rPr>
          <w:highlight w:val="none"/>
        </w:rPr>
      </w:r>
      <w:r>
        <w:rPr>
          <w:highlight w:val="none"/>
        </w:rPr>
      </w:r>
    </w:p>
    <w:p w14:paraId="6B20F43A">
      <w:pPr>
        <w:pStyle w:val="1113"/>
        <w:pBdr/>
        <w:spacing w:line="276" w:lineRule="auto"/>
        <w:ind/>
        <w:rPr>
          <w:highlight w:val="none"/>
        </w:rPr>
      </w:pPr>
      <w:r>
        <w:rPr>
          <w:highlight w:val="none"/>
        </w:rPr>
      </w:r>
      <w:r>
        <w:rPr>
          <w:highlight w:val="none"/>
        </w:rPr>
      </w:r>
      <w:r>
        <w:rPr>
          <w:highlight w:val="none"/>
        </w:rPr>
      </w:r>
    </w:p>
    <w:p w14:paraId="05DB19C1">
      <w:pPr>
        <w:pStyle w:val="1116"/>
        <w:pBdr/>
        <w:spacing w:before="0" w:line="276" w:lineRule="auto"/>
        <w:ind/>
        <w:rPr/>
      </w:pPr>
      <w:r/>
      <w:bookmarkStart w:id="8" w:name="_Toc8"/>
      <w:r>
        <w:t xml:space="preserve">svislé nosné konstrukce</w:t>
      </w:r>
      <w:r>
        <w:t xml:space="preserve"> – nádrže</w:t>
      </w:r>
      <w:r/>
      <w:bookmarkEnd w:id="8"/>
      <w:r/>
      <w:r/>
    </w:p>
    <w:p w14:paraId="2EB33EDF">
      <w:pPr>
        <w:pStyle w:val="1113"/>
        <w:pBdr/>
        <w:spacing w:line="276" w:lineRule="auto"/>
        <w:ind/>
        <w:rPr>
          <w:b/>
          <w:u w:val="single"/>
        </w:rPr>
      </w:pPr>
      <w:r>
        <w:rPr>
          <w:b/>
          <w:u w:val="single"/>
        </w:rPr>
        <w:t xml:space="preserve">Skladba svislé nosné konstrukce – skladba 2 – stěna podzemní části - nádrže</w:t>
      </w:r>
      <w:r>
        <w:rPr>
          <w:b/>
          <w:u w:val="single"/>
        </w:rPr>
      </w:r>
      <w:r>
        <w:rPr>
          <w:b/>
          <w:u w:val="single"/>
        </w:rPr>
      </w:r>
    </w:p>
    <w:p w14:paraId="6D8F6F76">
      <w:pPr>
        <w:pStyle w:val="1113"/>
        <w:numPr>
          <w:ilvl w:val="0"/>
          <w:numId w:val="79"/>
        </w:numPr>
        <w:pBdr/>
        <w:spacing w:line="276" w:lineRule="auto"/>
        <w:ind/>
        <w:rPr/>
      </w:pPr>
      <w:r>
        <w:t xml:space="preserve">Nátěr ŽB konstrukce voděodolný</w:t>
      </w:r>
      <w:r/>
    </w:p>
    <w:p w14:paraId="0C4F5AC7">
      <w:pPr>
        <w:pStyle w:val="1113"/>
        <w:numPr>
          <w:ilvl w:val="0"/>
          <w:numId w:val="79"/>
        </w:numPr>
        <w:pBdr/>
        <w:spacing w:line="276" w:lineRule="auto"/>
        <w:ind/>
        <w:rPr/>
      </w:pPr>
      <w:r>
        <w:rPr>
          <w:highlight w:val="none"/>
        </w:rPr>
        <w:t xml:space="preserve">Železobetonová konstrukce tl. 400 mm </w:t>
      </w:r>
      <w:r/>
    </w:p>
    <w:p w14:paraId="184BD4FE">
      <w:pPr>
        <w:pStyle w:val="1113"/>
        <w:numPr>
          <w:ilvl w:val="0"/>
          <w:numId w:val="79"/>
        </w:numPr>
        <w:pBdr/>
        <w:spacing w:line="276" w:lineRule="auto"/>
        <w:ind/>
        <w:rPr/>
      </w:pPr>
      <w:r>
        <w:rPr>
          <w:highlight w:val="none"/>
        </w:rPr>
        <w:t xml:space="preserve">Venkovní nátěr asfaltový</w:t>
      </w:r>
      <w:r>
        <w:rPr>
          <w:highlight w:val="none"/>
        </w:rPr>
      </w:r>
      <w:r/>
    </w:p>
    <w:p w14:paraId="3C6E8B07">
      <w:pPr>
        <w:pStyle w:val="1113"/>
        <w:pBdr/>
        <w:spacing w:line="276" w:lineRule="auto"/>
        <w:ind/>
        <w:rPr>
          <w:highlight w:val="none"/>
        </w:rPr>
      </w:pPr>
      <w:r>
        <w:rPr>
          <w:highlight w:val="none"/>
        </w:rPr>
      </w:r>
      <w:r>
        <w:rPr>
          <w:highlight w:val="none"/>
        </w:rPr>
      </w:r>
      <w:r>
        <w:rPr>
          <w:highlight w:val="none"/>
        </w:rPr>
      </w:r>
    </w:p>
    <w:p w14:paraId="49D1456F">
      <w:pPr>
        <w:pStyle w:val="1113"/>
        <w:pBdr/>
        <w:spacing w:line="276" w:lineRule="auto"/>
        <w:ind/>
        <w:rPr>
          <w:b/>
          <w:u w:val="single"/>
        </w:rPr>
      </w:pPr>
      <w:r>
        <w:rPr>
          <w:b/>
          <w:u w:val="single"/>
        </w:rPr>
        <w:t xml:space="preserve">Skladba svislé nosné konstrukce – skladba 6 – stěna nadzemní části - nádrže</w:t>
      </w:r>
      <w:r>
        <w:rPr>
          <w:b/>
          <w:u w:val="single"/>
        </w:rPr>
      </w:r>
      <w:r>
        <w:rPr>
          <w:b/>
          <w:u w:val="single"/>
        </w:rPr>
      </w:r>
    </w:p>
    <w:p w14:paraId="4C04A585">
      <w:pPr>
        <w:pStyle w:val="1113"/>
        <w:numPr>
          <w:ilvl w:val="0"/>
          <w:numId w:val="80"/>
        </w:numPr>
        <w:pBdr/>
        <w:spacing w:line="276" w:lineRule="auto"/>
        <w:ind/>
        <w:rPr/>
      </w:pPr>
      <w:r>
        <w:rPr>
          <w:highlight w:val="none"/>
        </w:rPr>
        <w:t xml:space="preserve">2x akrylátový nátěr – omítky </w:t>
      </w:r>
      <w:r/>
    </w:p>
    <w:p w14:paraId="705975CB">
      <w:pPr>
        <w:pStyle w:val="1113"/>
        <w:numPr>
          <w:ilvl w:val="0"/>
          <w:numId w:val="80"/>
        </w:numPr>
        <w:pBdr/>
        <w:spacing w:line="276" w:lineRule="auto"/>
        <w:ind/>
        <w:rPr/>
      </w:pPr>
      <w:r>
        <w:rPr>
          <w:highlight w:val="none"/>
        </w:rPr>
        <w:t xml:space="preserve">Penetrační nátěr akrylátový </w:t>
      </w:r>
      <w:r/>
    </w:p>
    <w:p w14:paraId="2AD4A674">
      <w:pPr>
        <w:pStyle w:val="1113"/>
        <w:numPr>
          <w:ilvl w:val="0"/>
          <w:numId w:val="80"/>
        </w:numPr>
        <w:pBdr/>
        <w:spacing w:line="276" w:lineRule="auto"/>
        <w:ind/>
        <w:rPr/>
      </w:pPr>
      <w:r>
        <w:rPr>
          <w:highlight w:val="none"/>
        </w:rPr>
        <w:t xml:space="preserve">Štuková omítka vápenocementová</w:t>
      </w:r>
      <w:r/>
    </w:p>
    <w:p w14:paraId="4FA4A62A">
      <w:pPr>
        <w:pStyle w:val="1113"/>
        <w:numPr>
          <w:ilvl w:val="0"/>
          <w:numId w:val="80"/>
        </w:numPr>
        <w:pBdr/>
        <w:spacing w:line="276" w:lineRule="auto"/>
        <w:ind/>
        <w:rPr/>
      </w:pPr>
      <w:r>
        <w:rPr>
          <w:highlight w:val="none"/>
        </w:rPr>
        <w:t xml:space="preserve">Zdivo Porotherm tl. 300 mm</w:t>
      </w:r>
      <w:r/>
    </w:p>
    <w:p w14:paraId="5C862573">
      <w:pPr>
        <w:pStyle w:val="1113"/>
        <w:numPr>
          <w:ilvl w:val="0"/>
          <w:numId w:val="80"/>
        </w:numPr>
        <w:pBdr/>
        <w:spacing w:line="276" w:lineRule="auto"/>
        <w:ind/>
        <w:rPr/>
      </w:pPr>
      <w:r>
        <w:rPr>
          <w:highlight w:val="none"/>
        </w:rPr>
        <w:t xml:space="preserve">Vnitřní omítka štuková vápenocementová</w:t>
      </w:r>
      <w:r/>
    </w:p>
    <w:p w14:paraId="6B4176F0">
      <w:pPr>
        <w:pStyle w:val="1113"/>
        <w:numPr>
          <w:ilvl w:val="0"/>
          <w:numId w:val="80"/>
        </w:numPr>
        <w:pBdr/>
        <w:spacing w:line="276" w:lineRule="auto"/>
        <w:ind/>
        <w:rPr>
          <w:highlight w:val="none"/>
        </w:rPr>
      </w:pPr>
      <w:r>
        <w:rPr>
          <w:highlight w:val="none"/>
        </w:rPr>
        <w:t xml:space="preserve">Vodovzdorný nátěr omyvatelný</w:t>
      </w:r>
      <w:r>
        <w:rPr>
          <w:highlight w:val="none"/>
        </w:rPr>
      </w:r>
    </w:p>
    <w:p>
      <w:pPr>
        <w:pStyle w:val="1113"/>
        <w:pBdr/>
        <w:spacing w:line="276" w:lineRule="auto"/>
        <w:ind/>
        <w:rPr/>
      </w:pPr>
      <w:r/>
      <w:r/>
    </w:p>
    <w:p>
      <w:pPr>
        <w:pStyle w:val="1116"/>
        <w:pBdr/>
        <w:spacing w:before="0" w:line="276" w:lineRule="auto"/>
        <w:ind/>
        <w:rPr/>
      </w:pPr>
      <w:r/>
      <w:bookmarkStart w:id="9" w:name="_Toc9"/>
      <w:r>
        <w:t xml:space="preserve">svislé nosné konstrukce</w:t>
      </w:r>
      <w:r>
        <w:t xml:space="preserve"> – PROVOZNÍ OBJEKT </w:t>
      </w:r>
      <w:r/>
      <w:bookmarkEnd w:id="9"/>
      <w:r/>
      <w:r/>
    </w:p>
    <w:p>
      <w:pPr>
        <w:pStyle w:val="1113"/>
        <w:pBdr/>
        <w:spacing w:line="276" w:lineRule="auto"/>
        <w:ind/>
        <w:rPr/>
      </w:pPr>
      <w:r>
        <w:t xml:space="preserve">Svislé nosné kon</w:t>
      </w:r>
      <w:r>
        <w:t xml:space="preserve">strukce jsou zděné z keramických nebo betonových tvárnic šířky 400 mm s uvažovanou výškou spáry 350 mm. Příčné stěny budou o tl. 240 mm. Minimální pevnost tvarovek je P10, malty M5,0. Příčné  a podélné stěny budou na jedné straně řádné propojeny ve vazbě. </w:t>
      </w:r>
      <w:r>
        <w:rPr>
          <w:highlight w:val="none"/>
        </w:rPr>
      </w:r>
      <w:r/>
    </w:p>
    <w:p>
      <w:pPr>
        <w:pStyle w:val="1113"/>
        <w:pBdr/>
        <w:spacing w:line="276" w:lineRule="auto"/>
        <w:ind/>
        <w:rPr/>
      </w:pPr>
      <w:r/>
      <w:r/>
    </w:p>
    <w:p>
      <w:pPr>
        <w:pStyle w:val="1113"/>
        <w:pBdr/>
        <w:spacing w:line="276" w:lineRule="auto"/>
        <w:ind/>
        <w:rPr>
          <w:b/>
          <w:u w:val="single"/>
        </w:rPr>
      </w:pPr>
      <w:r>
        <w:rPr>
          <w:b/>
          <w:u w:val="single"/>
        </w:rPr>
        <w:t xml:space="preserve">Skladba svislé nosné konstrukce – skladba 1 – nová stěna dmychárny</w:t>
      </w:r>
      <w:r>
        <w:rPr>
          <w:b/>
          <w:u w:val="single"/>
        </w:rPr>
      </w:r>
      <w:r>
        <w:rPr>
          <w:b/>
          <w:u w:val="single"/>
        </w:rPr>
      </w:r>
    </w:p>
    <w:p>
      <w:pPr>
        <w:pStyle w:val="1113"/>
        <w:numPr>
          <w:ilvl w:val="0"/>
          <w:numId w:val="48"/>
        </w:numPr>
        <w:pBdr/>
        <w:spacing w:line="276" w:lineRule="auto"/>
        <w:ind/>
        <w:rPr/>
      </w:pPr>
      <w:r>
        <w:t xml:space="preserve">2x akrylový nátěr – Primalex</w:t>
      </w:r>
      <w:r/>
    </w:p>
    <w:p>
      <w:pPr>
        <w:pStyle w:val="1113"/>
        <w:numPr>
          <w:ilvl w:val="0"/>
          <w:numId w:val="48"/>
        </w:numPr>
        <w:pBdr/>
        <w:spacing w:line="276" w:lineRule="auto"/>
        <w:ind/>
        <w:rPr/>
      </w:pPr>
      <w:r>
        <w:t xml:space="preserve">Štuková omítka</w:t>
      </w:r>
      <w:r/>
    </w:p>
    <w:p>
      <w:pPr>
        <w:pStyle w:val="1113"/>
        <w:numPr>
          <w:ilvl w:val="0"/>
          <w:numId w:val="48"/>
        </w:numPr>
        <w:pBdr/>
        <w:spacing w:line="276" w:lineRule="auto"/>
        <w:ind/>
        <w:rPr/>
      </w:pPr>
      <w:r>
        <w:t xml:space="preserve">Příčka z pálených tvárnice tl. 300 mm </w:t>
      </w:r>
      <w:r/>
    </w:p>
    <w:p>
      <w:pPr>
        <w:pStyle w:val="1113"/>
        <w:numPr>
          <w:ilvl w:val="0"/>
          <w:numId w:val="48"/>
        </w:numPr>
        <w:pBdr/>
        <w:spacing w:line="276" w:lineRule="auto"/>
        <w:ind/>
        <w:rPr/>
      </w:pPr>
      <w:r>
        <w:t xml:space="preserve">Vnitřní štuková omítka vápenocementová</w:t>
      </w:r>
      <w:r/>
    </w:p>
    <w:p>
      <w:pPr>
        <w:pStyle w:val="1113"/>
        <w:numPr>
          <w:ilvl w:val="0"/>
          <w:numId w:val="48"/>
        </w:numPr>
        <w:pBdr/>
        <w:spacing w:line="276" w:lineRule="auto"/>
        <w:ind/>
        <w:rPr/>
      </w:pPr>
      <w:r>
        <w:t xml:space="preserve">Vodovzdorný nátěr omyvatelný</w:t>
      </w:r>
      <w:r/>
    </w:p>
    <w:p>
      <w:pPr>
        <w:pStyle w:val="1113"/>
        <w:pBdr/>
        <w:spacing w:line="276" w:lineRule="auto"/>
        <w:ind/>
        <w:rPr/>
      </w:pPr>
      <w:r/>
      <w:r/>
    </w:p>
    <w:p>
      <w:pPr>
        <w:pStyle w:val="1116"/>
        <w:pBdr/>
        <w:spacing w:before="0" w:line="276" w:lineRule="auto"/>
        <w:ind/>
        <w:rPr/>
      </w:pPr>
      <w:r/>
      <w:bookmarkStart w:id="10" w:name="_Toc10"/>
      <w:r>
        <w:t xml:space="preserve">VODOROVNÉ</w:t>
      </w:r>
      <w:r>
        <w:t xml:space="preserve"> </w:t>
      </w:r>
      <w:r>
        <w:t xml:space="preserve">konstrukce</w:t>
      </w:r>
      <w:r/>
      <w:bookmarkEnd w:id="10"/>
      <w:r/>
      <w:r/>
    </w:p>
    <w:p>
      <w:pPr>
        <w:pStyle w:val="1113"/>
        <w:pBdr/>
        <w:spacing w:line="276" w:lineRule="auto"/>
        <w:ind/>
        <w:rPr>
          <w:highlight w:val="none"/>
        </w:rPr>
      </w:pPr>
      <w:r>
        <w:t xml:space="preserve">Pod střešní konstrukcí bude proveden železobetono</w:t>
      </w:r>
      <w:r>
        <w:t xml:space="preserve">vý věnec 240/250 (b/h). Věnec bude procházet i nad příčnými stěnami vyzděnými na podlahové desce a bude propojovat podélné věnce. Na obvodových stěnách bude věnec proveden mezi věncovkami, nad střední stěnou bude vybedněn. Beton C20/25 – XC2, krytí 25 mm. </w:t>
      </w:r>
      <w:r>
        <w:rPr>
          <w:highlight w:val="none"/>
        </w:rPr>
      </w:r>
      <w:r>
        <w:rPr>
          <w:highlight w:val="none"/>
        </w:rPr>
      </w:r>
    </w:p>
    <w:p w14:paraId="1A84BA10">
      <w:pPr>
        <w:pStyle w:val="1113"/>
        <w:pBdr/>
        <w:spacing w:line="276" w:lineRule="auto"/>
        <w:ind/>
        <w:rPr>
          <w:highlight w:val="none"/>
        </w:rPr>
      </w:pPr>
      <w:r>
        <w:rPr>
          <w:highlight w:val="none"/>
        </w:rPr>
      </w:r>
      <w:r>
        <w:rPr>
          <w:highlight w:val="none"/>
        </w:rPr>
      </w:r>
      <w:r>
        <w:rPr>
          <w:highlight w:val="none"/>
        </w:rPr>
      </w:r>
    </w:p>
    <w:p w14:paraId="00DD6FD8">
      <w:pPr>
        <w:pStyle w:val="1113"/>
        <w:pBdr/>
        <w:spacing w:line="276" w:lineRule="auto"/>
        <w:ind/>
        <w:rPr>
          <w:highlight w:val="none"/>
        </w:rPr>
      </w:pPr>
      <w:r>
        <w:rPr>
          <w:highlight w:val="none"/>
        </w:rPr>
        <w:t xml:space="preserve">Nad otvory v stěnách budou uloženy překlady dle vybraného systému. Modulově jsou nejvhodnější ploché keramicko – betonové překlady výšky 75mm. </w:t>
      </w:r>
      <w:r>
        <w:rPr>
          <w:highlight w:val="none"/>
        </w:rPr>
      </w:r>
      <w:r>
        <w:rPr>
          <w:highlight w:val="none"/>
        </w:rPr>
      </w:r>
    </w:p>
    <w:p w14:paraId="122C370F">
      <w:pPr>
        <w:pStyle w:val="1113"/>
        <w:pBdr/>
        <w:spacing w:line="276" w:lineRule="auto"/>
        <w:ind/>
        <w:rPr/>
      </w:pPr>
      <w:r>
        <w:rPr>
          <w:highlight w:val="none"/>
        </w:rPr>
      </w:r>
      <w:r>
        <w:rPr>
          <w:highlight w:val="none"/>
        </w:rPr>
      </w:r>
      <w:r/>
    </w:p>
    <w:p>
      <w:pPr>
        <w:pStyle w:val="1113"/>
        <w:pBdr/>
        <w:spacing w:line="276" w:lineRule="auto"/>
        <w:ind/>
        <w:rPr>
          <w:b/>
          <w:u w:val="single"/>
        </w:rPr>
      </w:pPr>
      <w:r>
        <w:rPr>
          <w:b/>
          <w:u w:val="single"/>
        </w:rPr>
        <w:t xml:space="preserve">Skladba vodorovné konstrukce – skladba 4 – podlaha podzemní části – nádrže:</w:t>
      </w:r>
      <w:r>
        <w:rPr>
          <w:b/>
          <w:u w:val="single"/>
        </w:rPr>
      </w:r>
      <w:r>
        <w:rPr>
          <w:b/>
          <w:u w:val="single"/>
        </w:rPr>
      </w:r>
    </w:p>
    <w:p w14:paraId="56C52199">
      <w:pPr>
        <w:pStyle w:val="1113"/>
        <w:numPr>
          <w:ilvl w:val="0"/>
          <w:numId w:val="81"/>
        </w:numPr>
        <w:pBdr/>
        <w:spacing w:line="276" w:lineRule="auto"/>
        <w:ind/>
        <w:rPr/>
      </w:pPr>
      <w:r>
        <w:t xml:space="preserve">Nátěr ŽB konstrukce voděodolný</w:t>
      </w:r>
      <w:r/>
    </w:p>
    <w:p w14:paraId="2D45AE2F">
      <w:pPr>
        <w:pStyle w:val="1113"/>
        <w:numPr>
          <w:ilvl w:val="0"/>
          <w:numId w:val="81"/>
        </w:numPr>
        <w:pBdr/>
        <w:spacing w:line="276" w:lineRule="auto"/>
        <w:ind/>
        <w:rPr/>
      </w:pPr>
      <w:r>
        <w:rPr>
          <w:highlight w:val="none"/>
        </w:rPr>
        <w:t xml:space="preserve">Železobetonová konstrukce tl. 400 mm</w:t>
      </w:r>
      <w:r/>
    </w:p>
    <w:p w14:paraId="1E05AECF">
      <w:pPr>
        <w:pStyle w:val="1113"/>
        <w:numPr>
          <w:ilvl w:val="0"/>
          <w:numId w:val="81"/>
        </w:numPr>
        <w:pBdr/>
        <w:spacing w:line="276" w:lineRule="auto"/>
        <w:ind/>
        <w:rPr/>
      </w:pPr>
      <w:r>
        <w:rPr>
          <w:highlight w:val="none"/>
        </w:rPr>
        <w:t xml:space="preserve">Podkladní beton B20 tl. 150 mm</w:t>
      </w:r>
      <w:r/>
    </w:p>
    <w:p w14:paraId="133A1E40">
      <w:pPr>
        <w:pStyle w:val="1113"/>
        <w:numPr>
          <w:ilvl w:val="0"/>
          <w:numId w:val="81"/>
        </w:numPr>
        <w:pBdr/>
        <w:spacing w:line="276" w:lineRule="auto"/>
        <w:ind/>
        <w:rPr/>
      </w:pPr>
      <w:r>
        <w:rPr>
          <w:highlight w:val="none"/>
        </w:rPr>
        <w:t xml:space="preserve">2x asfaltový pás s papírovou vložkou</w:t>
      </w:r>
      <w:r/>
    </w:p>
    <w:p w14:paraId="0022011A">
      <w:pPr>
        <w:pStyle w:val="1113"/>
        <w:numPr>
          <w:ilvl w:val="0"/>
          <w:numId w:val="81"/>
        </w:numPr>
        <w:pBdr/>
        <w:spacing w:line="276" w:lineRule="auto"/>
        <w:ind/>
        <w:rPr/>
      </w:pPr>
      <w:r>
        <w:rPr>
          <w:highlight w:val="none"/>
        </w:rPr>
        <w:t xml:space="preserve">ŠP podklad tl. 200 mm</w:t>
      </w:r>
      <w:r/>
    </w:p>
    <w:p w14:paraId="20A31367">
      <w:pPr>
        <w:pStyle w:val="1113"/>
        <w:numPr>
          <w:ilvl w:val="0"/>
          <w:numId w:val="81"/>
        </w:numPr>
        <w:pBdr/>
        <w:spacing w:line="276" w:lineRule="auto"/>
        <w:ind/>
        <w:rPr/>
      </w:pPr>
      <w:r>
        <w:rPr>
          <w:highlight w:val="none"/>
        </w:rPr>
        <w:t xml:space="preserve">Skalní podloží</w:t>
      </w:r>
      <w:r/>
    </w:p>
    <w:p w14:paraId="47EBFB30">
      <w:pPr>
        <w:pStyle w:val="1113"/>
        <w:pBdr/>
        <w:spacing w:line="276" w:lineRule="auto"/>
        <w:ind/>
        <w:rPr/>
      </w:pPr>
      <w:r/>
      <w:r/>
    </w:p>
    <w:p w14:paraId="6AB0BEA4">
      <w:pPr>
        <w:pStyle w:val="1113"/>
        <w:pBdr/>
        <w:spacing w:line="276" w:lineRule="auto"/>
        <w:ind/>
        <w:rPr>
          <w:b/>
          <w:bCs/>
          <w:highlight w:val="none"/>
          <w:u w:val="single"/>
        </w:rPr>
      </w:pPr>
      <w:r>
        <w:rPr>
          <w:b/>
          <w:u w:val="single"/>
        </w:rPr>
        <w:t xml:space="preserve">Skladba vodorovné konstrukce – skladba 5 – podlaha nadzemní části – dmychárna:</w:t>
      </w:r>
      <w:r>
        <w:rPr>
          <w:b/>
          <w:u w:val="single"/>
        </w:rPr>
      </w:r>
      <w:r>
        <w:rPr>
          <w:b/>
          <w:bCs/>
          <w:highlight w:val="none"/>
          <w:u w:val="single"/>
        </w:rPr>
      </w:r>
    </w:p>
    <w:p w14:paraId="01A7F732">
      <w:pPr>
        <w:pStyle w:val="1113"/>
        <w:numPr>
          <w:ilvl w:val="0"/>
          <w:numId w:val="82"/>
        </w:numPr>
        <w:pBdr/>
        <w:spacing w:line="276" w:lineRule="auto"/>
        <w:ind/>
        <w:rPr>
          <w:b w:val="0"/>
          <w:bCs w:val="0"/>
          <w:u w:val="none"/>
        </w:rPr>
      </w:pPr>
      <w:r>
        <w:rPr>
          <w:b w:val="0"/>
          <w:bCs w:val="0"/>
          <w:highlight w:val="none"/>
          <w:u w:val="none"/>
        </w:rPr>
        <w:t xml:space="preserve">2x akrylátový nátěr - podlaha</w:t>
      </w:r>
      <w:r>
        <w:rPr>
          <w:b w:val="0"/>
          <w:bCs w:val="0"/>
          <w:u w:val="none"/>
        </w:rPr>
      </w:r>
      <w:r>
        <w:rPr>
          <w:b w:val="0"/>
          <w:bCs w:val="0"/>
          <w:u w:val="none"/>
        </w:rPr>
      </w:r>
    </w:p>
    <w:p w14:paraId="41B5C1EF">
      <w:pPr>
        <w:pStyle w:val="1113"/>
        <w:numPr>
          <w:ilvl w:val="0"/>
          <w:numId w:val="82"/>
        </w:numPr>
        <w:pBdr/>
        <w:spacing w:line="276" w:lineRule="auto"/>
        <w:ind/>
        <w:rPr>
          <w:b w:val="0"/>
          <w:bCs w:val="0"/>
          <w:u w:val="none"/>
        </w:rPr>
      </w:pPr>
      <w:r>
        <w:rPr>
          <w:b w:val="0"/>
          <w:bCs w:val="0"/>
          <w:highlight w:val="none"/>
          <w:u w:val="none"/>
        </w:rPr>
        <w:t xml:space="preserve">Vyčištěná podlaha S300 – tl. 50 mm</w:t>
      </w:r>
      <w:r>
        <w:rPr>
          <w:b w:val="0"/>
          <w:bCs w:val="0"/>
          <w:u w:val="none"/>
        </w:rPr>
      </w:r>
      <w:r>
        <w:rPr>
          <w:b w:val="0"/>
          <w:bCs w:val="0"/>
          <w:u w:val="none"/>
        </w:rPr>
      </w:r>
    </w:p>
    <w:p w14:paraId="16EAF5C1">
      <w:pPr>
        <w:pStyle w:val="1113"/>
        <w:numPr>
          <w:ilvl w:val="0"/>
          <w:numId w:val="82"/>
        </w:numPr>
        <w:pBdr/>
        <w:spacing w:line="276" w:lineRule="auto"/>
        <w:ind/>
        <w:rPr>
          <w:b w:val="0"/>
          <w:bCs w:val="0"/>
          <w:u w:val="none"/>
        </w:rPr>
      </w:pPr>
      <w:r>
        <w:rPr>
          <w:b w:val="0"/>
          <w:bCs w:val="0"/>
          <w:highlight w:val="none"/>
          <w:u w:val="none"/>
        </w:rPr>
        <w:t xml:space="preserve">Izolace proti vlhkosti IPA</w:t>
      </w:r>
      <w:r>
        <w:rPr>
          <w:b w:val="0"/>
          <w:bCs w:val="0"/>
          <w:u w:val="none"/>
        </w:rPr>
      </w:r>
      <w:r>
        <w:rPr>
          <w:b w:val="0"/>
          <w:bCs w:val="0"/>
          <w:u w:val="none"/>
        </w:rPr>
      </w:r>
    </w:p>
    <w:p w14:paraId="3B368AD8">
      <w:pPr>
        <w:pStyle w:val="1113"/>
        <w:numPr>
          <w:ilvl w:val="0"/>
          <w:numId w:val="82"/>
        </w:numPr>
        <w:pBdr/>
        <w:spacing w:line="276" w:lineRule="auto"/>
        <w:ind/>
        <w:rPr>
          <w:b w:val="0"/>
          <w:bCs w:val="0"/>
          <w:u w:val="none"/>
        </w:rPr>
      </w:pPr>
      <w:r>
        <w:rPr>
          <w:b w:val="0"/>
          <w:bCs w:val="0"/>
          <w:highlight w:val="none"/>
          <w:u w:val="none"/>
        </w:rPr>
        <w:t xml:space="preserve">ŽB konstrukce tl. 300 mm</w:t>
      </w:r>
      <w:r>
        <w:rPr>
          <w:b w:val="0"/>
          <w:bCs w:val="0"/>
          <w:u w:val="none"/>
        </w:rPr>
      </w:r>
      <w:r>
        <w:rPr>
          <w:b w:val="0"/>
          <w:bCs w:val="0"/>
          <w:u w:val="none"/>
        </w:rPr>
      </w:r>
    </w:p>
    <w:p w14:paraId="7397B6BC">
      <w:pPr>
        <w:pStyle w:val="1113"/>
        <w:numPr>
          <w:ilvl w:val="0"/>
          <w:numId w:val="82"/>
        </w:numPr>
        <w:pBdr/>
        <w:spacing w:line="276" w:lineRule="auto"/>
        <w:ind/>
        <w:rPr>
          <w:b w:val="0"/>
          <w:bCs w:val="0"/>
          <w:u w:val="none"/>
        </w:rPr>
      </w:pPr>
      <w:r>
        <w:rPr>
          <w:b w:val="0"/>
          <w:bCs w:val="0"/>
          <w:highlight w:val="none"/>
          <w:u w:val="none"/>
        </w:rPr>
        <w:t xml:space="preserve">Nátěr ŽB konstrukce voděodolný</w:t>
      </w:r>
      <w:r>
        <w:rPr>
          <w:b w:val="0"/>
          <w:bCs w:val="0"/>
          <w:u w:val="none"/>
        </w:rPr>
      </w:r>
      <w:r>
        <w:rPr>
          <w:b w:val="0"/>
          <w:bCs w:val="0"/>
          <w:u w:val="none"/>
        </w:rPr>
      </w:r>
    </w:p>
    <w:p>
      <w:pPr>
        <w:pStyle w:val="1113"/>
        <w:pBdr/>
        <w:spacing w:line="276" w:lineRule="auto"/>
        <w:ind/>
        <w:rPr/>
      </w:pPr>
      <w:r/>
      <w:r/>
    </w:p>
    <w:p>
      <w:pPr>
        <w:pStyle w:val="1113"/>
        <w:pBdr/>
        <w:spacing w:line="276" w:lineRule="auto"/>
        <w:ind/>
        <w:rPr/>
      </w:pPr>
      <w:r>
        <w:t xml:space="preserve">Na okenními otvory budou systémové překlady. </w:t>
      </w:r>
      <w:r/>
    </w:p>
    <w:p>
      <w:pPr>
        <w:pStyle w:val="1113"/>
        <w:pBdr/>
        <w:spacing w:line="276" w:lineRule="auto"/>
        <w:ind/>
        <w:rPr/>
      </w:pPr>
      <w:r/>
      <w:r/>
    </w:p>
    <w:p>
      <w:pPr>
        <w:pStyle w:val="1116"/>
        <w:pBdr/>
        <w:spacing w:before="0" w:line="276" w:lineRule="auto"/>
        <w:ind/>
        <w:rPr/>
      </w:pPr>
      <w:r/>
      <w:bookmarkStart w:id="11" w:name="_Toc11"/>
      <w:r>
        <w:t xml:space="preserve">ZASTŘEŠENÍ</w:t>
      </w:r>
      <w:r/>
      <w:bookmarkEnd w:id="11"/>
      <w:r/>
      <w:r/>
    </w:p>
    <w:p>
      <w:pPr>
        <w:pStyle w:val="1113"/>
        <w:pBdr/>
        <w:spacing w:line="276" w:lineRule="auto"/>
        <w:ind/>
        <w:rPr/>
      </w:pPr>
      <w:r>
        <w:t xml:space="preserve">Zastřešení bude provedeno z průmyslových dřevěných sbíjených vazníků osazených po cca 1m. Stabilita bude zajištěna </w:t>
      </w:r>
      <w:r>
        <w:t xml:space="preserve">zavětrování</w:t>
      </w:r>
      <w:r>
        <w:t xml:space="preserve">m prkny v rovině střechy, případně budou ve svislé rovině mezi středními sloupky dřevěné příhradové vazníky. Každý vazník bude kotven do ŽB věnce pomocí chemických kotev M12. Dřevo C22 ošetřené proti biologickým škůdcům, spoje pozinkované ocelové destčky. </w:t>
      </w:r>
      <w:r/>
    </w:p>
    <w:p>
      <w:pPr>
        <w:pStyle w:val="1113"/>
        <w:pBdr/>
        <w:spacing w:line="276" w:lineRule="auto"/>
        <w:ind/>
        <w:rPr/>
      </w:pPr>
      <w:r/>
      <w:r/>
    </w:p>
    <w:p>
      <w:pPr>
        <w:pStyle w:val="1113"/>
        <w:pBdr/>
        <w:spacing w:line="276" w:lineRule="auto"/>
        <w:ind/>
        <w:rPr>
          <w:b/>
          <w:u w:val="single"/>
        </w:rPr>
      </w:pPr>
      <w:r>
        <w:rPr>
          <w:b/>
          <w:u w:val="single"/>
        </w:rPr>
        <w:t xml:space="preserve">Skladba střešní konstrukce:</w:t>
      </w:r>
      <w:r>
        <w:rPr>
          <w:b/>
          <w:u w:val="single"/>
        </w:rPr>
      </w:r>
      <w:r>
        <w:rPr>
          <w:b/>
          <w:u w:val="single"/>
        </w:rPr>
      </w:r>
    </w:p>
    <w:p>
      <w:pPr>
        <w:pStyle w:val="1113"/>
        <w:numPr>
          <w:ilvl w:val="0"/>
          <w:numId w:val="48"/>
        </w:numPr>
        <w:pBdr/>
        <w:spacing w:line="276" w:lineRule="auto"/>
        <w:ind/>
        <w:rPr/>
      </w:pPr>
      <w:r>
        <w:t xml:space="preserve">Střešní krytina – betonová taška, máčená, červená</w:t>
      </w:r>
      <w:r/>
    </w:p>
    <w:p>
      <w:pPr>
        <w:pStyle w:val="1113"/>
        <w:numPr>
          <w:ilvl w:val="0"/>
          <w:numId w:val="48"/>
        </w:numPr>
        <w:pBdr/>
        <w:spacing w:line="276" w:lineRule="auto"/>
        <w:ind/>
        <w:rPr/>
      </w:pPr>
      <w:r>
        <w:t xml:space="preserve">Lať 40 x 60 mm</w:t>
      </w:r>
      <w:r/>
    </w:p>
    <w:p>
      <w:pPr>
        <w:pStyle w:val="1113"/>
        <w:numPr>
          <w:ilvl w:val="0"/>
          <w:numId w:val="48"/>
        </w:numPr>
        <w:pBdr/>
        <w:spacing w:line="276" w:lineRule="auto"/>
        <w:ind/>
        <w:rPr/>
      </w:pPr>
      <w:r>
        <w:t xml:space="preserve">Krokev 100 x 140 mm </w:t>
      </w:r>
      <w:r/>
    </w:p>
    <w:p>
      <w:pPr>
        <w:pStyle w:val="1113"/>
        <w:pBdr/>
        <w:spacing w:line="276" w:lineRule="auto"/>
        <w:ind/>
        <w:rPr/>
      </w:pPr>
      <w:r/>
      <w:r/>
    </w:p>
    <w:p>
      <w:pPr>
        <w:pStyle w:val="1113"/>
        <w:pBdr/>
        <w:spacing w:line="276" w:lineRule="auto"/>
        <w:ind/>
        <w:rPr/>
      </w:pPr>
      <w:r>
        <w:t xml:space="preserve">Materiálem bude dřevo C22, ocel S235. Spoje bude tesařské, pozinkované ocelové destičky. </w:t>
      </w:r>
      <w:r/>
    </w:p>
    <w:p>
      <w:pPr>
        <w:pStyle w:val="1113"/>
        <w:pBdr/>
        <w:spacing w:line="276" w:lineRule="auto"/>
        <w:ind/>
        <w:rPr/>
      </w:pPr>
      <w:r/>
      <w:r/>
    </w:p>
    <w:p>
      <w:pPr>
        <w:pStyle w:val="1113"/>
        <w:pBdr/>
        <w:spacing w:line="276" w:lineRule="auto"/>
        <w:ind/>
        <w:rPr/>
      </w:pPr>
      <w:r>
        <w:t xml:space="preserve">Okapy budou svedeny do stávajícího obvodového žlabu u svahu za objektem. </w:t>
      </w:r>
      <w:r/>
    </w:p>
    <w:p w14:paraId="4EB9F9C9">
      <w:pPr>
        <w:pStyle w:val="1113"/>
        <w:pBdr/>
        <w:spacing w:line="276" w:lineRule="auto"/>
        <w:ind/>
        <w:rPr/>
      </w:pPr>
      <w:r/>
      <w:r/>
    </w:p>
    <w:p w14:paraId="178087DC">
      <w:pPr>
        <w:pStyle w:val="1113"/>
        <w:pBdr/>
        <w:spacing w:line="276" w:lineRule="auto"/>
        <w:ind w:firstLine="0" w:left="0"/>
        <w:rPr>
          <w:rFonts w:ascii="Arial" w:hAnsi="Arial" w:cs="Arial"/>
          <w:color w:val="000000" w:themeColor="text1"/>
          <w:sz w:val="36"/>
          <w:szCs w:val="32"/>
        </w:rPr>
      </w:pPr>
      <w:r>
        <w:rPr>
          <w:rFonts w:ascii="Arial" w:hAnsi="Arial" w:eastAsia="Arial" w:cs="Arial"/>
          <w:color w:val="000000" w:themeColor="text1"/>
          <w:sz w:val="36"/>
          <w:szCs w:val="32"/>
          <w:highlight w:val="none"/>
        </w:rPr>
      </w:r>
      <w:r>
        <w:rPr>
          <w:rFonts w:ascii="Arial" w:hAnsi="Arial" w:eastAsia="Arial" w:cs="Arial"/>
          <w:color w:val="000000" w:themeColor="text1"/>
          <w:sz w:val="22"/>
          <w:szCs w:val="32"/>
        </w:rPr>
        <w:t xml:space="preserve">Bude vytvořena ocelová lávka šířky 700 mm s ocelovými nebo kompozitovými pororošty. Povrchová úprava nových ocelových nosníků a zábradlí – žárový pozink. Při návrhu lávky je nutné uvažovat zavěšení technologie dosazovacích nádrží.</w:t>
      </w:r>
      <w:r>
        <w:rPr>
          <w:rFonts w:ascii="Arial" w:hAnsi="Arial" w:cs="Arial"/>
          <w:color w:val="000000" w:themeColor="text1"/>
          <w:sz w:val="36"/>
          <w:szCs w:val="32"/>
        </w:rPr>
      </w:r>
      <w:r>
        <w:rPr>
          <w:rFonts w:ascii="Arial" w:hAnsi="Arial" w:cs="Arial"/>
          <w:color w:val="000000" w:themeColor="text1"/>
          <w:sz w:val="36"/>
          <w:szCs w:val="32"/>
        </w:rPr>
      </w:r>
    </w:p>
    <w:p>
      <w:pPr>
        <w:pStyle w:val="1116"/>
        <w:pBdr/>
        <w:spacing w:line="276" w:lineRule="auto"/>
        <w:ind/>
        <w:rPr>
          <w:highlight w:val="none"/>
        </w:rPr>
      </w:pPr>
      <w:r/>
      <w:bookmarkStart w:id="12" w:name="_Toc12"/>
      <w:r>
        <w:rPr>
          <w:highlight w:val="none"/>
        </w:rPr>
        <w:t xml:space="preserve">TRUBNÍ PROSTUPY</w:t>
      </w:r>
      <w:r/>
      <w:bookmarkEnd w:id="12"/>
      <w:r/>
      <w:r>
        <w:rPr>
          <w:highlight w:val="none"/>
        </w:rPr>
      </w:r>
    </w:p>
    <w:p>
      <w:pPr>
        <w:pStyle w:val="1117"/>
        <w:pBdr/>
        <w:spacing w:line="276" w:lineRule="auto"/>
        <w:ind/>
        <w:rPr/>
      </w:pPr>
      <w:r>
        <w:t xml:space="preserve">PROSTUP "A"  (PRO POTRUBÍ DN25 – PITNÁ VODA) V NADZEMNÍ ČÁSTI, ZDĚNÁ STĚNA</w:t>
      </w:r>
      <w:r/>
    </w:p>
    <w:p>
      <w:pPr>
        <w:pStyle w:val="1113"/>
        <w:numPr>
          <w:ilvl w:val="0"/>
          <w:numId w:val="52"/>
        </w:numPr>
        <w:pBdr/>
        <w:spacing w:line="276" w:lineRule="auto"/>
        <w:ind/>
        <w:rPr>
          <w:rFonts w:cs="Arial"/>
        </w:rPr>
      </w:pPr>
      <w:r>
        <w:rPr>
          <w:rFonts w:cs="Arial"/>
        </w:rPr>
        <w:t xml:space="preserve">prostup pro potrubí pitné vody DN25</w:t>
      </w:r>
      <w:r>
        <w:rPr>
          <w:rFonts w:cs="Arial"/>
        </w:rPr>
      </w:r>
      <w:r>
        <w:rPr>
          <w:rFonts w:cs="Arial"/>
        </w:rPr>
      </w:r>
    </w:p>
    <w:p>
      <w:pPr>
        <w:pStyle w:val="1113"/>
        <w:numPr>
          <w:ilvl w:val="0"/>
          <w:numId w:val="52"/>
        </w:numPr>
        <w:pBdr/>
        <w:spacing w:line="276" w:lineRule="auto"/>
        <w:ind/>
        <w:rPr>
          <w:rFonts w:cs="Arial"/>
        </w:rPr>
      </w:pPr>
      <w:r>
        <w:rPr>
          <w:rFonts w:cs="Arial"/>
          <w:highlight w:val="none"/>
        </w:rPr>
        <w:t xml:space="preserve">zatěsnění potrubí viz technické požadavky výrobce potrubí</w:t>
      </w:r>
      <w:r>
        <w:rPr>
          <w:rFonts w:cs="Arial"/>
        </w:rPr>
        <w:t xml:space="preserve">, bude řešeno s dodavatelem</w:t>
      </w:r>
      <w:r>
        <w:rPr>
          <w:rFonts w:cs="Arial"/>
        </w:rPr>
      </w:r>
      <w:r>
        <w:rPr>
          <w:rFonts w:cs="Arial"/>
        </w:rPr>
      </w:r>
    </w:p>
    <w:p>
      <w:pPr>
        <w:pStyle w:val="1113"/>
        <w:numPr>
          <w:ilvl w:val="0"/>
          <w:numId w:val="52"/>
        </w:numPr>
        <w:pBdr/>
        <w:spacing w:line="276" w:lineRule="auto"/>
        <w:ind/>
        <w:rPr>
          <w:rFonts w:cs="Arial"/>
        </w:rPr>
      </w:pPr>
      <w:r>
        <w:rPr>
          <w:rFonts w:cs="Arial"/>
          <w:highlight w:val="none"/>
        </w:rPr>
      </w:r>
      <w:r>
        <w:rPr>
          <w:rFonts w:cs="Arial"/>
          <w:highlight w:val="none"/>
        </w:rPr>
        <w:t xml:space="preserve">napojovací část trouby bude vložena do bednění a obalena bentonitovými pásy, v případě potřeby napojení i na druhé straně bude trouba obalena mirelonem</w:t>
      </w:r>
      <w:r>
        <w:rPr>
          <w:rFonts w:cs="Arial"/>
          <w:highlight w:val="none"/>
        </w:rPr>
        <w:t xml:space="preserve"> </w:t>
      </w:r>
      <w:r>
        <w:rPr>
          <w:rFonts w:cs="Arial"/>
        </w:rPr>
      </w:r>
      <w:r>
        <w:rPr>
          <w:rFonts w:cs="Arial"/>
        </w:rPr>
      </w:r>
    </w:p>
    <w:p>
      <w:pPr>
        <w:pStyle w:val="1113"/>
        <w:numPr>
          <w:ilvl w:val="0"/>
          <w:numId w:val="52"/>
        </w:numPr>
        <w:pBdr/>
        <w:spacing w:line="276" w:lineRule="auto"/>
        <w:ind/>
        <w:rPr>
          <w:rFonts w:cs="Arial"/>
        </w:rPr>
      </w:pPr>
      <w:r>
        <w:rPr>
          <w:rFonts w:cs="Arial"/>
          <w:highlight w:val="none"/>
        </w:rPr>
        <w:t xml:space="preserve">výšková k</w:t>
      </w:r>
      <w:r>
        <w:rPr>
          <w:rFonts w:cs="Arial"/>
          <w:highlight w:val="none"/>
        </w:rPr>
        <w:t xml:space="preserve">óta k ose potrubí +0,550m </w:t>
      </w:r>
      <w:r>
        <w:rPr>
          <w:rFonts w:cs="Arial"/>
        </w:rPr>
      </w:r>
      <w:r>
        <w:rPr>
          <w:rFonts w:cs="Arial"/>
        </w:rPr>
      </w:r>
    </w:p>
    <w:p>
      <w:pPr>
        <w:pStyle w:val="1117"/>
        <w:pBdr/>
        <w:spacing w:line="276" w:lineRule="auto"/>
        <w:ind/>
        <w:rPr/>
      </w:pPr>
      <w:r>
        <w:t xml:space="preserve">PROSTUP "B"  (PRO POTRUBÍ DN25 – PITNÁ VODA) V NADZEMNÍ ČÁSTI, ZDĚNÁ STĚNA</w:t>
      </w:r>
      <w:r/>
    </w:p>
    <w:p>
      <w:pPr>
        <w:pStyle w:val="1113"/>
        <w:numPr>
          <w:ilvl w:val="0"/>
          <w:numId w:val="54"/>
        </w:numPr>
        <w:pBdr/>
        <w:spacing w:line="276" w:lineRule="auto"/>
        <w:ind/>
        <w:rPr>
          <w:rFonts w:cs="Arial"/>
        </w:rPr>
      </w:pPr>
      <w:r>
        <w:rPr>
          <w:rFonts w:cs="Arial"/>
        </w:rPr>
        <w:t xml:space="preserve">prostup pro potrubí pitné vody DN25</w:t>
      </w:r>
      <w:r>
        <w:rPr>
          <w:rFonts w:cs="Arial"/>
        </w:rPr>
      </w:r>
      <w:r>
        <w:rPr>
          <w:rFonts w:cs="Arial"/>
        </w:rPr>
      </w:r>
    </w:p>
    <w:p>
      <w:pPr>
        <w:pStyle w:val="1113"/>
        <w:numPr>
          <w:ilvl w:val="0"/>
          <w:numId w:val="72"/>
        </w:numPr>
        <w:pBdr/>
        <w:spacing w:line="276" w:lineRule="auto"/>
        <w:ind/>
        <w:rPr>
          <w:rFonts w:cs="Arial"/>
        </w:rPr>
      </w:pPr>
      <w:r>
        <w:rPr>
          <w:rFonts w:cs="Arial"/>
          <w:highlight w:val="none"/>
        </w:rPr>
        <w:t xml:space="preserve">zatěsnění potrubí viz technické požadavky výrobce potrubí</w:t>
      </w:r>
      <w:r>
        <w:rPr>
          <w:rFonts w:cs="Arial"/>
        </w:rPr>
        <w:t xml:space="preserve">, </w:t>
      </w:r>
      <w:r>
        <w:rPr>
          <w:rFonts w:cs="Arial"/>
        </w:rPr>
        <w:t xml:space="preserve">bude řešeno s dodavatelem</w:t>
      </w:r>
      <w:r>
        <w:rPr>
          <w:rFonts w:cs="Arial"/>
        </w:rPr>
      </w:r>
      <w:r>
        <w:rPr>
          <w:rFonts w:cs="Arial"/>
        </w:rPr>
      </w:r>
    </w:p>
    <w:p>
      <w:pPr>
        <w:pStyle w:val="1113"/>
        <w:numPr>
          <w:ilvl w:val="0"/>
          <w:numId w:val="72"/>
        </w:numPr>
        <w:pBdr/>
        <w:spacing w:line="276" w:lineRule="auto"/>
        <w:ind/>
        <w:rPr>
          <w:rFonts w:cs="Arial"/>
        </w:rPr>
      </w:pPr>
      <w:r>
        <w:rPr>
          <w:rFonts w:cs="Arial"/>
          <w:highlight w:val="none"/>
        </w:rPr>
      </w:r>
      <w:r>
        <w:rPr>
          <w:rFonts w:cs="Arial"/>
          <w:highlight w:val="none"/>
        </w:rPr>
        <w:t xml:space="preserve">napojovací část trouby bude vložena do bednění a obalena bentonitovými pásy, v případě potřeby napojení i na druhé straně bude trouba obalena mirelonem</w:t>
      </w:r>
      <w:r>
        <w:rPr>
          <w:rFonts w:cs="Arial"/>
          <w:highlight w:val="none"/>
        </w:rPr>
        <w:t xml:space="preserve"> </w:t>
      </w:r>
      <w:r>
        <w:rPr>
          <w:rFonts w:cs="Arial"/>
        </w:rPr>
      </w:r>
      <w:r>
        <w:rPr>
          <w:rFonts w:cs="Arial"/>
        </w:rPr>
      </w:r>
    </w:p>
    <w:p>
      <w:pPr>
        <w:pStyle w:val="1113"/>
        <w:numPr>
          <w:ilvl w:val="0"/>
          <w:numId w:val="54"/>
        </w:numPr>
        <w:pBdr/>
        <w:spacing w:line="276" w:lineRule="auto"/>
        <w:ind/>
        <w:rPr>
          <w:rFonts w:cs="Arial"/>
        </w:rPr>
      </w:pPr>
      <w:r>
        <w:rPr>
          <w:rFonts w:cs="Arial"/>
          <w:highlight w:val="none"/>
        </w:rPr>
        <w:t xml:space="preserve">výšková k</w:t>
      </w:r>
      <w:r>
        <w:rPr>
          <w:rFonts w:cs="Arial"/>
          <w:highlight w:val="none"/>
        </w:rPr>
        <w:t xml:space="preserve">óta k ose potrubí +0,550m </w:t>
      </w:r>
      <w:r>
        <w:rPr>
          <w:rFonts w:cs="Arial"/>
        </w:rPr>
      </w:r>
      <w:r>
        <w:rPr>
          <w:rFonts w:cs="Arial"/>
        </w:rPr>
      </w:r>
    </w:p>
    <w:p>
      <w:pPr>
        <w:pStyle w:val="1117"/>
        <w:pBdr/>
        <w:spacing w:line="276" w:lineRule="auto"/>
        <w:ind/>
        <w:rPr/>
      </w:pPr>
      <w:r>
        <w:t xml:space="preserve">PROSTUP "C"  (PRO POTRUBÍ DN65 – POTRUBÍ KALU) </w:t>
      </w:r>
      <w:r/>
    </w:p>
    <w:p>
      <w:pPr>
        <w:pStyle w:val="1113"/>
        <w:numPr>
          <w:ilvl w:val="0"/>
          <w:numId w:val="56"/>
        </w:numPr>
        <w:pBdr/>
        <w:spacing w:line="276" w:lineRule="auto"/>
        <w:ind/>
        <w:rPr>
          <w:rFonts w:cs="Arial"/>
        </w:rPr>
      </w:pPr>
      <w:r>
        <w:rPr>
          <w:rFonts w:cs="Arial"/>
        </w:rPr>
        <w:t xml:space="preserve">prostup pro potrubí kalu DN65</w:t>
      </w:r>
      <w:r>
        <w:rPr>
          <w:rFonts w:cs="Arial"/>
        </w:rPr>
      </w:r>
      <w:r>
        <w:rPr>
          <w:rFonts w:cs="Arial"/>
        </w:rPr>
      </w:r>
    </w:p>
    <w:p>
      <w:pPr>
        <w:pStyle w:val="1113"/>
        <w:numPr>
          <w:ilvl w:val="0"/>
          <w:numId w:val="70"/>
        </w:numPr>
        <w:pBdr/>
        <w:spacing w:line="276" w:lineRule="auto"/>
        <w:ind/>
        <w:rPr>
          <w:rFonts w:cs="Arial"/>
        </w:rPr>
      </w:pPr>
      <w:r>
        <w:rPr>
          <w:rFonts w:cs="Arial"/>
          <w:highlight w:val="none"/>
        </w:rPr>
        <w:t xml:space="preserve">zatěsnění potrubí viz technické požadavky výrobce potrubí</w:t>
      </w:r>
      <w:r>
        <w:rPr>
          <w:rFonts w:cs="Arial"/>
        </w:rPr>
        <w:t xml:space="preserve">, bude řešeno s dodavatelem</w:t>
      </w:r>
      <w:r>
        <w:rPr>
          <w:rFonts w:cs="Arial"/>
        </w:rPr>
      </w:r>
      <w:r>
        <w:rPr>
          <w:rFonts w:cs="Arial"/>
        </w:rPr>
      </w:r>
    </w:p>
    <w:p>
      <w:pPr>
        <w:pStyle w:val="1113"/>
        <w:numPr>
          <w:ilvl w:val="0"/>
          <w:numId w:val="70"/>
        </w:numPr>
        <w:pBdr/>
        <w:spacing w:line="276" w:lineRule="auto"/>
        <w:ind/>
        <w:rPr>
          <w:rFonts w:cs="Arial"/>
        </w:rPr>
      </w:pPr>
      <w:r>
        <w:rPr>
          <w:rFonts w:cs="Arial"/>
          <w:highlight w:val="none"/>
        </w:rPr>
      </w:r>
      <w:r>
        <w:rPr>
          <w:rFonts w:cs="Arial"/>
          <w:highlight w:val="none"/>
        </w:rPr>
        <w:t xml:space="preserve">napojovací část trouby bude vložena do bednění a obalena bentonitovými pásy, v případě potřeby napojení i na druhé straně bude trouba obalena mirelonem</w:t>
      </w:r>
      <w:r>
        <w:rPr>
          <w:rFonts w:cs="Arial"/>
          <w:highlight w:val="none"/>
        </w:rPr>
        <w:t xml:space="preserve"> </w:t>
      </w:r>
      <w:r>
        <w:rPr>
          <w:rFonts w:cs="Arial"/>
        </w:rPr>
      </w:r>
      <w:r>
        <w:rPr>
          <w:rFonts w:cs="Arial"/>
        </w:rPr>
      </w:r>
    </w:p>
    <w:p>
      <w:pPr>
        <w:pStyle w:val="1113"/>
        <w:numPr>
          <w:ilvl w:val="0"/>
          <w:numId w:val="56"/>
        </w:numPr>
        <w:pBdr/>
        <w:spacing w:line="276" w:lineRule="auto"/>
        <w:ind/>
        <w:rPr>
          <w:rFonts w:cs="Arial"/>
        </w:rPr>
      </w:pPr>
      <w:r>
        <w:rPr>
          <w:rFonts w:cs="Arial"/>
          <w:highlight w:val="none"/>
        </w:rPr>
        <w:t xml:space="preserve">výšková k</w:t>
      </w:r>
      <w:r>
        <w:rPr>
          <w:rFonts w:cs="Arial"/>
          <w:highlight w:val="none"/>
        </w:rPr>
        <w:t xml:space="preserve">óta k ose potrubí -1,050m </w:t>
      </w:r>
      <w:r>
        <w:rPr>
          <w:rFonts w:cs="Arial"/>
        </w:rPr>
      </w:r>
      <w:r>
        <w:rPr>
          <w:rFonts w:cs="Arial"/>
        </w:rPr>
      </w:r>
    </w:p>
    <w:p>
      <w:pPr>
        <w:pStyle w:val="1117"/>
        <w:pBdr/>
        <w:spacing w:line="276" w:lineRule="auto"/>
        <w:ind/>
        <w:rPr/>
      </w:pPr>
      <w:r>
        <w:t xml:space="preserve">PROSTUP "D"  (PRO POTRUBÍ DN150)</w:t>
      </w:r>
      <w:r/>
    </w:p>
    <w:p>
      <w:pPr>
        <w:pStyle w:val="1113"/>
        <w:numPr>
          <w:ilvl w:val="0"/>
          <w:numId w:val="58"/>
        </w:numPr>
        <w:pBdr/>
        <w:spacing w:line="276" w:lineRule="auto"/>
        <w:ind/>
        <w:rPr>
          <w:rFonts w:cs="Arial"/>
        </w:rPr>
      </w:pPr>
      <w:r>
        <w:rPr>
          <w:rFonts w:cs="Arial"/>
        </w:rPr>
        <w:t xml:space="preserve">prostup pro potrubí kalu DN150</w:t>
      </w:r>
      <w:r>
        <w:rPr>
          <w:rFonts w:cs="Arial"/>
        </w:rPr>
      </w:r>
      <w:r>
        <w:rPr>
          <w:rFonts w:cs="Arial"/>
        </w:rPr>
      </w:r>
    </w:p>
    <w:p>
      <w:pPr>
        <w:pStyle w:val="1113"/>
        <w:numPr>
          <w:ilvl w:val="0"/>
          <w:numId w:val="71"/>
        </w:numPr>
        <w:pBdr/>
        <w:spacing w:line="276" w:lineRule="auto"/>
        <w:ind/>
        <w:rPr>
          <w:rFonts w:cs="Arial"/>
        </w:rPr>
      </w:pPr>
      <w:r>
        <w:rPr>
          <w:rFonts w:cs="Arial"/>
          <w:highlight w:val="none"/>
        </w:rPr>
        <w:t xml:space="preserve">zatěsnění potrubí viz technické požadavky výrobce potrubí</w:t>
      </w:r>
      <w:r>
        <w:rPr>
          <w:rFonts w:cs="Arial"/>
        </w:rPr>
        <w:t xml:space="preserve">,bude řešeno s dodavatelem</w:t>
      </w:r>
      <w:r>
        <w:rPr>
          <w:rFonts w:cs="Arial"/>
        </w:rPr>
      </w:r>
      <w:r>
        <w:rPr>
          <w:rFonts w:cs="Arial"/>
        </w:rPr>
      </w:r>
    </w:p>
    <w:p>
      <w:pPr>
        <w:pStyle w:val="1113"/>
        <w:numPr>
          <w:ilvl w:val="0"/>
          <w:numId w:val="71"/>
        </w:numPr>
        <w:pBdr/>
        <w:spacing w:line="276" w:lineRule="auto"/>
        <w:ind/>
        <w:rPr>
          <w:rFonts w:cs="Arial"/>
        </w:rPr>
      </w:pPr>
      <w:r>
        <w:rPr>
          <w:rFonts w:cs="Arial"/>
          <w:highlight w:val="none"/>
        </w:rPr>
      </w:r>
      <w:r>
        <w:rPr>
          <w:rFonts w:cs="Arial"/>
          <w:highlight w:val="none"/>
        </w:rPr>
        <w:t xml:space="preserve">napojovací část trouby bude vložena do bednění a obalena bentonitovými pásy, v případě potřeby napojení i na druhé straně bude trouba obalena mirelonem</w:t>
      </w:r>
      <w:r>
        <w:rPr>
          <w:rFonts w:cs="Arial"/>
          <w:highlight w:val="none"/>
        </w:rPr>
        <w:t xml:space="preserve"> </w:t>
      </w:r>
      <w:r>
        <w:rPr>
          <w:rFonts w:cs="Arial"/>
        </w:rPr>
      </w:r>
      <w:r>
        <w:rPr>
          <w:rFonts w:cs="Arial"/>
        </w:rPr>
      </w:r>
    </w:p>
    <w:p>
      <w:pPr>
        <w:pStyle w:val="1113"/>
        <w:numPr>
          <w:ilvl w:val="0"/>
          <w:numId w:val="58"/>
        </w:numPr>
        <w:pBdr/>
        <w:spacing w:line="276" w:lineRule="auto"/>
        <w:ind/>
        <w:rPr>
          <w:rFonts w:cs="Arial"/>
        </w:rPr>
      </w:pPr>
      <w:r>
        <w:rPr>
          <w:rFonts w:cs="Arial"/>
          <w:highlight w:val="none"/>
        </w:rPr>
        <w:t xml:space="preserve">výšková k</w:t>
      </w:r>
      <w:r>
        <w:rPr>
          <w:rFonts w:cs="Arial"/>
          <w:highlight w:val="none"/>
        </w:rPr>
        <w:t xml:space="preserve">óta k ose potrubí -0,560m </w:t>
      </w:r>
      <w:r>
        <w:rPr>
          <w:rFonts w:cs="Arial"/>
        </w:rPr>
      </w:r>
      <w:r>
        <w:rPr>
          <w:rFonts w:cs="Arial"/>
        </w:rPr>
      </w:r>
    </w:p>
    <w:p>
      <w:pPr>
        <w:pStyle w:val="1117"/>
        <w:pBdr/>
        <w:spacing w:line="276" w:lineRule="auto"/>
        <w:ind/>
        <w:rPr/>
      </w:pPr>
      <w:r>
        <w:t xml:space="preserve">PROSTUP "E"  (ODVĚTRÁNÍ PROSTORU) V NADZEMNÍ ČÁSTI, ZDĚNÁ STĚNA</w:t>
      </w:r>
      <w:r/>
    </w:p>
    <w:p>
      <w:pPr>
        <w:pStyle w:val="1113"/>
        <w:numPr>
          <w:ilvl w:val="0"/>
          <w:numId w:val="60"/>
        </w:numPr>
        <w:pBdr/>
        <w:spacing w:line="276" w:lineRule="auto"/>
        <w:ind/>
        <w:rPr>
          <w:rFonts w:cs="Arial"/>
        </w:rPr>
      </w:pPr>
      <w:r>
        <w:rPr>
          <w:rFonts w:cs="Arial"/>
          <w:highlight w:val="none"/>
        </w:rPr>
        <w:t xml:space="preserve">prostup DN300</w:t>
      </w:r>
      <w:r>
        <w:rPr>
          <w:rFonts w:cs="Arial"/>
        </w:rPr>
      </w:r>
      <w:r>
        <w:rPr>
          <w:rFonts w:cs="Arial"/>
        </w:rPr>
      </w:r>
    </w:p>
    <w:p>
      <w:pPr>
        <w:pStyle w:val="1113"/>
        <w:numPr>
          <w:ilvl w:val="0"/>
          <w:numId w:val="61"/>
        </w:numPr>
        <w:pBdr/>
        <w:spacing w:line="276" w:lineRule="auto"/>
        <w:ind/>
        <w:rPr>
          <w:rFonts w:cs="Arial"/>
        </w:rPr>
      </w:pPr>
      <w:r>
        <w:rPr>
          <w:rFonts w:cs="Arial"/>
          <w:highlight w:val="none"/>
        </w:rPr>
        <w:t xml:space="preserve">výšková k</w:t>
      </w:r>
      <w:r>
        <w:rPr>
          <w:rFonts w:cs="Arial"/>
          <w:highlight w:val="none"/>
        </w:rPr>
        <w:t xml:space="preserve">óta k ose potrubí +2,150m </w:t>
      </w:r>
      <w:r>
        <w:rPr>
          <w:rFonts w:cs="Arial"/>
        </w:rPr>
      </w:r>
      <w:r>
        <w:rPr>
          <w:rFonts w:cs="Arial"/>
        </w:rPr>
      </w:r>
    </w:p>
    <w:p>
      <w:pPr>
        <w:pStyle w:val="1117"/>
        <w:pBdr/>
        <w:spacing w:line="276" w:lineRule="auto"/>
        <w:ind/>
        <w:rPr/>
      </w:pPr>
      <w:r>
        <w:t xml:space="preserve">PROSTUP "F"  (PRO POTRUBÍ DN150)</w:t>
      </w:r>
      <w:r/>
    </w:p>
    <w:p>
      <w:pPr>
        <w:pStyle w:val="1113"/>
        <w:numPr>
          <w:ilvl w:val="0"/>
          <w:numId w:val="63"/>
        </w:numPr>
        <w:pBdr/>
        <w:spacing w:line="276" w:lineRule="auto"/>
        <w:ind/>
        <w:rPr>
          <w:rFonts w:cs="Arial"/>
        </w:rPr>
      </w:pPr>
      <w:r>
        <w:rPr>
          <w:rFonts w:cs="Arial"/>
        </w:rPr>
        <w:t xml:space="preserve">prostup pro potrubí kalu DN150</w:t>
      </w:r>
      <w:r>
        <w:rPr>
          <w:rFonts w:cs="Arial"/>
        </w:rPr>
      </w:r>
      <w:r>
        <w:rPr>
          <w:rFonts w:cs="Arial"/>
        </w:rPr>
      </w:r>
    </w:p>
    <w:p>
      <w:pPr>
        <w:pStyle w:val="1113"/>
        <w:numPr>
          <w:ilvl w:val="0"/>
          <w:numId w:val="73"/>
        </w:numPr>
        <w:pBdr/>
        <w:spacing w:line="276" w:lineRule="auto"/>
        <w:ind/>
        <w:rPr>
          <w:rFonts w:cs="Arial"/>
        </w:rPr>
      </w:pPr>
      <w:r>
        <w:rPr>
          <w:rFonts w:cs="Arial"/>
          <w:highlight w:val="none"/>
        </w:rPr>
        <w:t xml:space="preserve">zatěsnění potrubí viz technické požadavky výrobce potrubí</w:t>
      </w:r>
      <w:r>
        <w:rPr>
          <w:rFonts w:cs="Arial"/>
        </w:rPr>
        <w:t xml:space="preserve">, </w:t>
      </w:r>
      <w:r>
        <w:rPr>
          <w:rFonts w:cs="Arial"/>
        </w:rPr>
        <w:t xml:space="preserve">bude řešeno s dodavatelem</w:t>
      </w:r>
      <w:r>
        <w:rPr>
          <w:rFonts w:cs="Arial"/>
        </w:rPr>
      </w:r>
      <w:r>
        <w:rPr>
          <w:rFonts w:cs="Arial"/>
        </w:rPr>
      </w:r>
    </w:p>
    <w:p>
      <w:pPr>
        <w:pStyle w:val="1113"/>
        <w:numPr>
          <w:ilvl w:val="0"/>
          <w:numId w:val="73"/>
        </w:numPr>
        <w:pBdr/>
        <w:spacing w:line="276" w:lineRule="auto"/>
        <w:ind/>
        <w:rPr>
          <w:rFonts w:cs="Arial"/>
        </w:rPr>
      </w:pPr>
      <w:r>
        <w:rPr>
          <w:rFonts w:cs="Arial"/>
          <w:highlight w:val="none"/>
        </w:rPr>
      </w:r>
      <w:r>
        <w:rPr>
          <w:rFonts w:cs="Arial"/>
          <w:highlight w:val="none"/>
        </w:rPr>
        <w:t xml:space="preserve">napojovací část trouby bude vložena do bednění a obalena bentonitovými pásy, v případě potřeby napojení i na druhé straně bude trouba obalena mirelonem</w:t>
      </w:r>
      <w:r>
        <w:rPr>
          <w:rFonts w:cs="Arial"/>
          <w:highlight w:val="none"/>
        </w:rPr>
        <w:t xml:space="preserve"> </w:t>
      </w:r>
      <w:r>
        <w:rPr>
          <w:rFonts w:cs="Arial"/>
        </w:rPr>
      </w:r>
      <w:r>
        <w:rPr>
          <w:rFonts w:cs="Arial"/>
        </w:rPr>
      </w:r>
    </w:p>
    <w:p>
      <w:pPr>
        <w:pStyle w:val="1113"/>
        <w:numPr>
          <w:ilvl w:val="0"/>
          <w:numId w:val="63"/>
        </w:numPr>
        <w:pBdr/>
        <w:spacing w:line="276" w:lineRule="auto"/>
        <w:ind/>
        <w:rPr>
          <w:rFonts w:cs="Arial"/>
        </w:rPr>
      </w:pPr>
      <w:r>
        <w:rPr>
          <w:rFonts w:cs="Arial"/>
          <w:highlight w:val="none"/>
        </w:rPr>
        <w:t xml:space="preserve">výšková k</w:t>
      </w:r>
      <w:r>
        <w:rPr>
          <w:rFonts w:cs="Arial"/>
          <w:highlight w:val="none"/>
        </w:rPr>
        <w:t xml:space="preserve">óta k ose potrubí -0,680m </w:t>
      </w:r>
      <w:r>
        <w:rPr>
          <w:rFonts w:cs="Arial"/>
        </w:rPr>
      </w:r>
      <w:r>
        <w:rPr>
          <w:rFonts w:cs="Arial"/>
        </w:rPr>
      </w:r>
    </w:p>
    <w:p>
      <w:pPr>
        <w:pStyle w:val="1114"/>
        <w:pBdr/>
        <w:spacing/>
        <w:ind/>
        <w:rPr/>
      </w:pPr>
      <w:r/>
      <w:bookmarkStart w:id="13" w:name="_Toc13"/>
      <w:r>
        <w:t xml:space="preserve"> </w:t>
      </w:r>
      <w:r>
        <w:t xml:space="preserve">POPIS KONSTRUKČNÍCH SKLADEB</w:t>
      </w:r>
      <w:r/>
      <w:bookmarkEnd w:id="13"/>
      <w:r/>
      <w:r/>
    </w:p>
    <w:p>
      <w:pPr>
        <w:pStyle w:val="1117"/>
        <w:pBdr/>
        <w:spacing w:line="276" w:lineRule="auto"/>
        <w:ind/>
        <w:rPr/>
      </w:pPr>
      <w:r>
        <w:t xml:space="preserve">Skladba 1 – nová stěna dmychárny</w:t>
      </w:r>
      <w:r/>
    </w:p>
    <w:p>
      <w:pPr>
        <w:pStyle w:val="1113"/>
        <w:numPr>
          <w:ilvl w:val="0"/>
          <w:numId w:val="47"/>
        </w:numPr>
        <w:pBdr/>
        <w:spacing w:line="276" w:lineRule="auto"/>
        <w:ind/>
        <w:rPr/>
      </w:pPr>
      <w:r>
        <w:t xml:space="preserve">2x akrylátový nátěr – Primalex</w:t>
      </w:r>
      <w:r/>
    </w:p>
    <w:p w14:paraId="669C6AEB">
      <w:pPr>
        <w:pStyle w:val="1113"/>
        <w:numPr>
          <w:ilvl w:val="0"/>
          <w:numId w:val="47"/>
        </w:numPr>
        <w:pBdr/>
        <w:spacing w:line="276" w:lineRule="auto"/>
        <w:ind/>
        <w:rPr/>
      </w:pPr>
      <w:r>
        <w:rPr>
          <w:highlight w:val="none"/>
        </w:rPr>
        <w:t xml:space="preserve">Štuková omítka</w:t>
      </w:r>
      <w:r/>
    </w:p>
    <w:p w14:paraId="78286568">
      <w:pPr>
        <w:pStyle w:val="1113"/>
        <w:numPr>
          <w:ilvl w:val="0"/>
          <w:numId w:val="47"/>
        </w:numPr>
        <w:pBdr/>
        <w:spacing w:line="276" w:lineRule="auto"/>
        <w:ind/>
        <w:rPr/>
      </w:pPr>
      <w:r>
        <w:rPr>
          <w:highlight w:val="none"/>
        </w:rPr>
        <w:t xml:space="preserve">Příčka z pálených tvárnic tl. 300 mm</w:t>
      </w:r>
      <w:r/>
    </w:p>
    <w:p w14:paraId="5EACA180">
      <w:pPr>
        <w:pStyle w:val="1113"/>
        <w:numPr>
          <w:ilvl w:val="0"/>
          <w:numId w:val="47"/>
        </w:numPr>
        <w:pBdr/>
        <w:spacing w:line="276" w:lineRule="auto"/>
        <w:ind/>
        <w:rPr/>
      </w:pPr>
      <w:r>
        <w:rPr>
          <w:highlight w:val="none"/>
        </w:rPr>
        <w:t xml:space="preserve">Vnitřní omítka štuková vápenocementová</w:t>
      </w:r>
      <w:r/>
    </w:p>
    <w:p w14:paraId="7D61B7B7">
      <w:pPr>
        <w:pStyle w:val="1113"/>
        <w:numPr>
          <w:ilvl w:val="0"/>
          <w:numId w:val="47"/>
        </w:numPr>
        <w:pBdr/>
        <w:spacing w:line="276" w:lineRule="auto"/>
        <w:ind/>
        <w:rPr/>
      </w:pPr>
      <w:r>
        <w:rPr>
          <w:highlight w:val="none"/>
        </w:rPr>
        <w:t xml:space="preserve">Vodovzdorný nátěr omyvatelný</w:t>
      </w:r>
      <w:r>
        <w:rPr>
          <w:highlight w:val="none"/>
        </w:rPr>
      </w:r>
      <w:r/>
    </w:p>
    <w:p>
      <w:pPr>
        <w:pStyle w:val="1117"/>
        <w:pBdr/>
        <w:spacing w:line="276" w:lineRule="auto"/>
        <w:ind/>
        <w:rPr/>
      </w:pPr>
      <w:r>
        <w:t xml:space="preserve">Skladba 2 – stěna podzemní části – nádrže</w:t>
      </w:r>
      <w:r/>
    </w:p>
    <w:p w14:paraId="2A3453C5">
      <w:pPr>
        <w:pStyle w:val="1113"/>
        <w:numPr>
          <w:ilvl w:val="0"/>
          <w:numId w:val="84"/>
        </w:numPr>
        <w:pBdr/>
        <w:spacing w:line="276" w:lineRule="auto"/>
        <w:ind/>
        <w:rPr/>
      </w:pPr>
      <w:r>
        <w:t xml:space="preserve">Nátěr ŽB konstrukce voděodolný</w:t>
      </w:r>
      <w:r/>
    </w:p>
    <w:p w14:paraId="09D26A31">
      <w:pPr>
        <w:pStyle w:val="1113"/>
        <w:numPr>
          <w:ilvl w:val="0"/>
          <w:numId w:val="84"/>
        </w:numPr>
        <w:pBdr/>
        <w:spacing w:line="276" w:lineRule="auto"/>
        <w:ind/>
        <w:rPr/>
      </w:pPr>
      <w:r>
        <w:rPr>
          <w:highlight w:val="none"/>
        </w:rPr>
        <w:t xml:space="preserve">ŽB konstrukce tl. 400 mm</w:t>
      </w:r>
      <w:r/>
    </w:p>
    <w:p w14:paraId="594AC72D">
      <w:pPr>
        <w:pStyle w:val="1113"/>
        <w:numPr>
          <w:ilvl w:val="0"/>
          <w:numId w:val="84"/>
        </w:numPr>
        <w:pBdr/>
        <w:spacing w:line="276" w:lineRule="auto"/>
        <w:ind/>
        <w:rPr/>
      </w:pPr>
      <w:r>
        <w:rPr>
          <w:highlight w:val="none"/>
        </w:rPr>
        <w:t xml:space="preserve">Venkovní nátěr - asfaltový</w:t>
      </w:r>
      <w:r>
        <w:rPr>
          <w:highlight w:val="none"/>
        </w:rPr>
      </w:r>
      <w:r/>
    </w:p>
    <w:p>
      <w:pPr>
        <w:pStyle w:val="1117"/>
        <w:pBdr/>
        <w:spacing w:line="276" w:lineRule="auto"/>
        <w:ind/>
        <w:rPr/>
      </w:pPr>
      <w:r>
        <w:t xml:space="preserve">Skladba 3 – střešní konstrukce objektu</w:t>
      </w:r>
      <w:r/>
    </w:p>
    <w:p>
      <w:pPr>
        <w:pStyle w:val="1113"/>
        <w:numPr>
          <w:ilvl w:val="0"/>
          <w:numId w:val="67"/>
        </w:numPr>
        <w:pBdr/>
        <w:spacing w:line="276" w:lineRule="auto"/>
        <w:ind/>
        <w:rPr/>
      </w:pPr>
      <w:r>
        <w:t xml:space="preserve">Střešní krytina – betonová taška, máčená, červená</w:t>
      </w:r>
      <w:r/>
    </w:p>
    <w:p>
      <w:pPr>
        <w:pStyle w:val="1113"/>
        <w:numPr>
          <w:ilvl w:val="0"/>
          <w:numId w:val="67"/>
        </w:numPr>
        <w:pBdr/>
        <w:spacing w:line="276" w:lineRule="auto"/>
        <w:ind/>
        <w:rPr/>
      </w:pPr>
      <w:r>
        <w:rPr>
          <w:highlight w:val="none"/>
        </w:rPr>
        <w:t xml:space="preserve">la</w:t>
      </w:r>
      <w:r>
        <w:rPr>
          <w:highlight w:val="none"/>
        </w:rPr>
        <w:t xml:space="preserve">ť 40x60 mm</w:t>
      </w:r>
      <w:r/>
    </w:p>
    <w:p>
      <w:pPr>
        <w:pStyle w:val="1113"/>
        <w:numPr>
          <w:ilvl w:val="0"/>
          <w:numId w:val="67"/>
        </w:numPr>
        <w:pBdr/>
        <w:spacing w:line="276" w:lineRule="auto"/>
        <w:ind/>
        <w:rPr/>
      </w:pPr>
      <w:r>
        <w:rPr>
          <w:highlight w:val="none"/>
        </w:rPr>
        <w:t xml:space="preserve">Krokev 100x140 mm</w:t>
      </w:r>
      <w:r/>
    </w:p>
    <w:p>
      <w:pPr>
        <w:pStyle w:val="1117"/>
        <w:pBdr/>
        <w:spacing w:line="276" w:lineRule="auto"/>
        <w:ind/>
        <w:rPr/>
      </w:pPr>
      <w:r>
        <w:t xml:space="preserve">Skladba 4 – podlaha podzemní části - nádrže</w:t>
      </w:r>
      <w:r/>
    </w:p>
    <w:p>
      <w:pPr>
        <w:pStyle w:val="1113"/>
        <w:numPr>
          <w:ilvl w:val="0"/>
          <w:numId w:val="69"/>
        </w:numPr>
        <w:pBdr/>
        <w:spacing w:line="276" w:lineRule="auto"/>
        <w:ind/>
        <w:rPr/>
      </w:pPr>
      <w:r>
        <w:rPr>
          <w:highlight w:val="none"/>
        </w:rPr>
        <w:t xml:space="preserve">Nátěr ŽB konstrukce voděodolný</w:t>
      </w:r>
      <w:r/>
    </w:p>
    <w:p w14:paraId="7A6FAC9E">
      <w:pPr>
        <w:pStyle w:val="1113"/>
        <w:numPr>
          <w:ilvl w:val="0"/>
          <w:numId w:val="69"/>
        </w:numPr>
        <w:pBdr/>
        <w:spacing w:line="276" w:lineRule="auto"/>
        <w:ind/>
        <w:rPr/>
      </w:pPr>
      <w:r>
        <w:rPr>
          <w:highlight w:val="none"/>
        </w:rPr>
        <w:t xml:space="preserve">Železobetonová konstrukce tl. 400 mm</w:t>
      </w:r>
      <w:r/>
    </w:p>
    <w:p w14:paraId="3E77A03A">
      <w:pPr>
        <w:pStyle w:val="1113"/>
        <w:numPr>
          <w:ilvl w:val="0"/>
          <w:numId w:val="69"/>
        </w:numPr>
        <w:pBdr/>
        <w:spacing w:line="276" w:lineRule="auto"/>
        <w:ind/>
        <w:rPr/>
      </w:pPr>
      <w:r>
        <w:rPr>
          <w:highlight w:val="none"/>
        </w:rPr>
        <w:t xml:space="preserve">Podkladní beton B20 tl 150 mm</w:t>
      </w:r>
      <w:r/>
    </w:p>
    <w:p w14:paraId="2908BEDA">
      <w:pPr>
        <w:pStyle w:val="1113"/>
        <w:numPr>
          <w:ilvl w:val="0"/>
          <w:numId w:val="69"/>
        </w:numPr>
        <w:pBdr/>
        <w:spacing w:line="276" w:lineRule="auto"/>
        <w:ind/>
        <w:rPr/>
      </w:pPr>
      <w:r>
        <w:rPr>
          <w:highlight w:val="none"/>
        </w:rPr>
        <w:t xml:space="preserve">2. Asfaltový pás s papírovou vložkou </w:t>
      </w:r>
      <w:r/>
    </w:p>
    <w:p w14:paraId="418FD5AD">
      <w:pPr>
        <w:pStyle w:val="1113"/>
        <w:numPr>
          <w:ilvl w:val="0"/>
          <w:numId w:val="69"/>
        </w:numPr>
        <w:pBdr/>
        <w:spacing w:line="276" w:lineRule="auto"/>
        <w:ind/>
        <w:rPr/>
      </w:pPr>
      <w:r>
        <w:rPr>
          <w:highlight w:val="none"/>
        </w:rPr>
        <w:t xml:space="preserve">ŠP podklad tl. 200 mm </w:t>
      </w:r>
      <w:r/>
    </w:p>
    <w:p w14:paraId="775DFC3F">
      <w:pPr>
        <w:pStyle w:val="1113"/>
        <w:numPr>
          <w:ilvl w:val="0"/>
          <w:numId w:val="69"/>
        </w:numPr>
        <w:pBdr/>
        <w:spacing w:line="276" w:lineRule="auto"/>
        <w:ind/>
        <w:rPr/>
      </w:pPr>
      <w:r>
        <w:rPr>
          <w:highlight w:val="none"/>
        </w:rPr>
        <w:t xml:space="preserve">skalní podloží</w:t>
      </w:r>
      <w:r/>
    </w:p>
    <w:p w14:paraId="1304D1FE">
      <w:pPr>
        <w:pStyle w:val="1117"/>
        <w:pBdr/>
        <w:spacing w:line="276" w:lineRule="auto"/>
        <w:ind/>
        <w:rPr/>
      </w:pPr>
      <w:r>
        <w:t xml:space="preserve">Skladba 5 – podlaha nadzemní části - dmychárna</w:t>
      </w:r>
      <w:r/>
    </w:p>
    <w:p w14:paraId="091258D8">
      <w:pPr>
        <w:pStyle w:val="1113"/>
        <w:numPr>
          <w:ilvl w:val="0"/>
          <w:numId w:val="86"/>
        </w:numPr>
        <w:pBdr/>
        <w:spacing w:line="276" w:lineRule="auto"/>
        <w:ind/>
        <w:rPr/>
      </w:pPr>
      <w:r>
        <w:rPr>
          <w:highlight w:val="none"/>
        </w:rPr>
        <w:t xml:space="preserve">2x akrylátový nátěr – podlaha</w:t>
      </w:r>
      <w:r/>
    </w:p>
    <w:p w14:paraId="3EF9D672">
      <w:pPr>
        <w:pStyle w:val="1113"/>
        <w:numPr>
          <w:ilvl w:val="0"/>
          <w:numId w:val="86"/>
        </w:numPr>
        <w:pBdr/>
        <w:spacing w:line="276" w:lineRule="auto"/>
        <w:ind/>
        <w:rPr/>
      </w:pPr>
      <w:r>
        <w:rPr>
          <w:highlight w:val="none"/>
        </w:rPr>
        <w:t xml:space="preserve">Vyčištěná podlaha S300 – tl. 50 mm</w:t>
      </w:r>
      <w:r/>
    </w:p>
    <w:p w14:paraId="1FCE180B">
      <w:pPr>
        <w:pStyle w:val="1113"/>
        <w:numPr>
          <w:ilvl w:val="0"/>
          <w:numId w:val="86"/>
        </w:numPr>
        <w:pBdr/>
        <w:spacing w:line="276" w:lineRule="auto"/>
        <w:ind/>
        <w:rPr/>
      </w:pPr>
      <w:r>
        <w:rPr>
          <w:highlight w:val="none"/>
        </w:rPr>
        <w:t xml:space="preserve">Izolace proti vlhkosti IPA</w:t>
      </w:r>
      <w:r/>
    </w:p>
    <w:p w14:paraId="6A318796">
      <w:pPr>
        <w:pStyle w:val="1113"/>
        <w:numPr>
          <w:ilvl w:val="0"/>
          <w:numId w:val="86"/>
        </w:numPr>
        <w:pBdr/>
        <w:spacing w:line="276" w:lineRule="auto"/>
        <w:ind/>
        <w:rPr/>
      </w:pPr>
      <w:r>
        <w:rPr>
          <w:highlight w:val="none"/>
        </w:rPr>
        <w:t xml:space="preserve">ŽB konstrukce tl. 300mm</w:t>
      </w:r>
      <w:r/>
    </w:p>
    <w:p w14:paraId="15ABACC0">
      <w:pPr>
        <w:pStyle w:val="1113"/>
        <w:numPr>
          <w:ilvl w:val="0"/>
          <w:numId w:val="86"/>
        </w:numPr>
        <w:pBdr/>
        <w:spacing w:line="276" w:lineRule="auto"/>
        <w:ind/>
        <w:rPr/>
      </w:pPr>
      <w:r>
        <w:rPr>
          <w:highlight w:val="none"/>
        </w:rPr>
        <w:t xml:space="preserve">Nátěr ŽB konstrukce voděodolný</w:t>
      </w:r>
      <w:r/>
    </w:p>
    <w:p w14:paraId="785E8C58">
      <w:pPr>
        <w:pStyle w:val="1113"/>
        <w:pBdr/>
        <w:spacing w:line="276" w:lineRule="auto"/>
        <w:ind/>
        <w:rPr/>
      </w:pPr>
      <w:r/>
      <w:r/>
    </w:p>
    <w:p w14:paraId="1304D1FE">
      <w:pPr>
        <w:pStyle w:val="1117"/>
        <w:pBdr/>
        <w:spacing w:line="276" w:lineRule="auto"/>
        <w:ind/>
        <w:rPr/>
      </w:pPr>
      <w:r>
        <w:t xml:space="preserve">Skladba 6 – stěna nadzemní části</w:t>
      </w:r>
      <w:r/>
    </w:p>
    <w:p w14:paraId="091258D8">
      <w:pPr>
        <w:pStyle w:val="1113"/>
        <w:numPr>
          <w:ilvl w:val="0"/>
          <w:numId w:val="88"/>
        </w:numPr>
        <w:pBdr/>
        <w:spacing w:line="276" w:lineRule="auto"/>
        <w:ind/>
        <w:rPr/>
      </w:pPr>
      <w:r>
        <w:rPr>
          <w:highlight w:val="none"/>
        </w:rPr>
        <w:t xml:space="preserve">2x akrylátový nátěr – omítky</w:t>
      </w:r>
      <w:r/>
    </w:p>
    <w:p w14:paraId="0ECD6403">
      <w:pPr>
        <w:pStyle w:val="1113"/>
        <w:numPr>
          <w:ilvl w:val="0"/>
          <w:numId w:val="88"/>
        </w:numPr>
        <w:pBdr/>
        <w:spacing w:line="276" w:lineRule="auto"/>
        <w:ind/>
        <w:rPr/>
      </w:pPr>
      <w:r>
        <w:rPr>
          <w:highlight w:val="none"/>
        </w:rPr>
        <w:t xml:space="preserve">Penetrační nátěr akrylátový</w:t>
      </w:r>
      <w:r/>
    </w:p>
    <w:p w14:paraId="006795DF">
      <w:pPr>
        <w:pStyle w:val="1113"/>
        <w:numPr>
          <w:ilvl w:val="0"/>
          <w:numId w:val="88"/>
        </w:numPr>
        <w:pBdr/>
        <w:spacing w:line="276" w:lineRule="auto"/>
        <w:ind/>
        <w:rPr/>
      </w:pPr>
      <w:r>
        <w:rPr>
          <w:highlight w:val="none"/>
        </w:rPr>
        <w:t xml:space="preserve">Štuková omítka vápenocementová</w:t>
      </w:r>
      <w:r/>
    </w:p>
    <w:p w14:paraId="31DD827E">
      <w:pPr>
        <w:pStyle w:val="1113"/>
        <w:numPr>
          <w:ilvl w:val="0"/>
          <w:numId w:val="88"/>
        </w:numPr>
        <w:pBdr/>
        <w:spacing w:line="276" w:lineRule="auto"/>
        <w:ind/>
        <w:rPr/>
      </w:pPr>
      <w:r>
        <w:rPr>
          <w:highlight w:val="none"/>
        </w:rPr>
        <w:t xml:space="preserve">Zdivo porotherm tl. 300 mm </w:t>
      </w:r>
      <w:r/>
    </w:p>
    <w:p w14:paraId="2D870B38">
      <w:pPr>
        <w:pStyle w:val="1113"/>
        <w:numPr>
          <w:ilvl w:val="0"/>
          <w:numId w:val="88"/>
        </w:numPr>
        <w:pBdr/>
        <w:spacing w:line="276" w:lineRule="auto"/>
        <w:ind/>
        <w:rPr/>
      </w:pPr>
      <w:r>
        <w:rPr>
          <w:highlight w:val="none"/>
        </w:rPr>
        <w:t xml:space="preserve">vnitřní omítka štuková vápenocementová</w:t>
      </w:r>
      <w:r/>
    </w:p>
    <w:p w14:paraId="428DCEBD">
      <w:pPr>
        <w:pStyle w:val="1113"/>
        <w:numPr>
          <w:ilvl w:val="0"/>
          <w:numId w:val="88"/>
        </w:numPr>
        <w:pBdr/>
        <w:spacing w:line="276" w:lineRule="auto"/>
        <w:ind/>
        <w:rPr/>
      </w:pPr>
      <w:r>
        <w:rPr>
          <w:highlight w:val="none"/>
        </w:rPr>
        <w:t xml:space="preserve">Vodovzdorný nátěr omyvatelný</w:t>
      </w:r>
      <w:r>
        <w:rPr>
          <w:highlight w:val="none"/>
        </w:rPr>
      </w:r>
      <w:r/>
    </w:p>
    <w:p>
      <w:pPr>
        <w:pStyle w:val="1116"/>
        <w:pBdr/>
        <w:spacing w:line="276" w:lineRule="auto"/>
        <w:ind/>
        <w:rPr/>
      </w:pPr>
      <w:r/>
      <w:bookmarkStart w:id="14" w:name="_Toc14"/>
      <w:r>
        <w:t xml:space="preserve">zastřešení OBJEKTU</w:t>
      </w:r>
      <w:r/>
      <w:bookmarkEnd w:id="14"/>
      <w:r/>
      <w:r/>
    </w:p>
    <w:p>
      <w:pPr>
        <w:pStyle w:val="1113"/>
        <w:pBdr/>
        <w:spacing w:line="276" w:lineRule="auto"/>
        <w:ind w:firstLine="360"/>
        <w:rPr>
          <w:highlight w:val="none"/>
        </w:rPr>
      </w:pPr>
      <w:r>
        <w:t xml:space="preserve">Z</w:t>
      </w:r>
      <w:r>
        <w:t xml:space="preserve">astřešení objek</w:t>
      </w:r>
      <w:r>
        <w:t xml:space="preserve">tu kalolisovny je řešeno dřevěným krovem se sedlovou sřechou se sklonem 40st. Zastřešení bude provedeno z průmyslových dřevěných sbíjených vazníků osazených po cca 1m. Jejich stabilita bude zajištěna zavětrováním prkny v rovině střechy, příp.ve svislé rovi</w:t>
      </w:r>
      <w:r>
        <w:t xml:space="preserve">ně mezi středními sloupky dřevěných příhradových vazníků. Rovina spodních pásů bude rovněž zavětrována tak, aby roznášela vodorovné zatížení ze stěn. Dřevo bude použito C22, Ocel S235. Spoje budou tesařské a pozinkované ocelové destičky. Vrcholová vaznice </w:t>
      </w:r>
      <w:r>
        <w:rPr>
          <w:highlight w:val="none"/>
        </w:rPr>
        <w:t xml:space="preserve">100x140mm má ztužující funkci a je osazená na sloupky 100x100mm na středu kratší části vaznicového věnce. Sbíjené vaz</w:t>
      </w:r>
      <w:r>
        <w:rPr>
          <w:highlight w:val="none"/>
        </w:rPr>
        <w:t xml:space="preserve">níky nebo krokve budou 100x140 mm, krokve max po 1m, krokve budou staženy kleštinami 2x 50/140mm v úrovni nad vaznicovým věncem. Krov musí být zavětrován minimálně v obou střešních rovinách. Rohové sloupky dřevěného přístřešku budou osazeny na zabetonované</w:t>
      </w:r>
      <w:r>
        <w:rPr>
          <w:highlight w:val="none"/>
        </w:rPr>
        <w:t xml:space="preserve"> ocelové patice. Pozednice budou kotveny do předem osazených závitových tyčí M14. Krokve budou kotveny do obvodové zdi  a věnce pomocí závitových tyčí M20 a lepených kotev HILTI. Kleštiny budou spojeny s krokvemi pomocí závitových tyčí M20. Tesařské spoje </w:t>
      </w:r>
      <w:r>
        <w:rPr>
          <w:highlight w:val="none"/>
        </w:rPr>
        <w:t xml:space="preserve">budou provedeny tradičním způsobem. Krokve v přesazích budou přiznané, nad krokvemi bude natlučen z vrchu prkenný záklop. </w:t>
      </w:r>
      <w:r>
        <w:t xml:space="preserve">Budou</w:t>
      </w:r>
      <w:r>
        <w:t xml:space="preserve"> použity všechny</w:t>
      </w:r>
      <w:r>
        <w:t xml:space="preserve"> střešní prvky od výrobce tašek</w:t>
      </w:r>
      <w:r>
        <w:t xml:space="preserve">, </w:t>
      </w:r>
      <w:r>
        <w:t xml:space="preserve">jako jsou hř</w:t>
      </w:r>
      <w:r>
        <w:t xml:space="preserve">e</w:t>
      </w:r>
      <w:r>
        <w:t xml:space="preserve">benové tašk</w:t>
      </w:r>
      <w:r>
        <w:t xml:space="preserve">y, koncové tašky, prostupové tašky a odvětrávací nástavce</w:t>
      </w:r>
      <w:r>
        <w:t xml:space="preserve">.</w:t>
      </w:r>
      <w:r>
        <w:rPr>
          <w:highlight w:val="none"/>
        </w:rPr>
      </w:r>
      <w:r>
        <w:rPr>
          <w:highlight w:val="none"/>
        </w:rPr>
      </w:r>
    </w:p>
    <w:p>
      <w:pPr>
        <w:pStyle w:val="1113"/>
        <w:pBdr/>
        <w:spacing w:line="276" w:lineRule="auto"/>
        <w:ind/>
        <w:rPr/>
      </w:pPr>
      <w:r>
        <w:tab/>
        <w:t xml:space="preserve">Pře</w:t>
      </w:r>
      <w:r>
        <w:t xml:space="preserve">čnívající konce krokví musí být ohoblovány! </w:t>
      </w:r>
      <w:r>
        <w:t xml:space="preserve">Konce krokví </w:t>
      </w:r>
      <w:r>
        <w:t xml:space="preserve">budou</w:t>
      </w:r>
      <w:r>
        <w:t xml:space="preserve"> opatřeny nárožním pr</w:t>
      </w:r>
      <w:r>
        <w:t xml:space="preserve">k</w:t>
      </w:r>
      <w:r>
        <w:t xml:space="preserve">nem. </w:t>
      </w:r>
      <w:r>
        <w:t xml:space="preserve">Všechny dřevěné konstrukce </w:t>
      </w:r>
      <w:r>
        <w:t xml:space="preserve">budou</w:t>
      </w:r>
      <w:r>
        <w:t xml:space="preserve"> natřeny protiplísňovým </w:t>
      </w:r>
      <w:r>
        <w:t xml:space="preserve">fungicidním nátěrem. </w:t>
      </w:r>
      <w:r>
        <w:t xml:space="preserve">Poh</w:t>
      </w:r>
      <w:r>
        <w:t xml:space="preserve">ledové části </w:t>
      </w:r>
      <w:r>
        <w:t xml:space="preserve">budou</w:t>
      </w:r>
      <w:r>
        <w:t xml:space="preserve"> natřeny</w:t>
      </w:r>
      <w:r>
        <w:t xml:space="preserve"> 3 x l</w:t>
      </w:r>
      <w:r>
        <w:t xml:space="preserve">azurovacím lakem. </w:t>
      </w:r>
      <w:r>
        <w:t xml:space="preserve">Odstín laku </w:t>
      </w:r>
      <w:r>
        <w:t xml:space="preserve">bude </w:t>
      </w:r>
      <w:r>
        <w:t xml:space="preserve">určen investorem. Výkres krovu bude řešen v rámci dílenské dokumentace!!</w:t>
      </w:r>
      <w:r/>
    </w:p>
    <w:p>
      <w:pPr>
        <w:pStyle w:val="1116"/>
        <w:pBdr/>
        <w:spacing w:line="276" w:lineRule="auto"/>
        <w:ind/>
        <w:rPr/>
      </w:pPr>
      <w:r/>
      <w:bookmarkStart w:id="15" w:name="_Toc15"/>
      <w:r>
        <w:t xml:space="preserve">Výplně otvorů</w:t>
      </w:r>
      <w:r>
        <w:t xml:space="preserve"> </w:t>
      </w:r>
      <w:r/>
      <w:bookmarkEnd w:id="15"/>
      <w:r/>
      <w:r/>
    </w:p>
    <w:p>
      <w:pPr>
        <w:pStyle w:val="1117"/>
        <w:pBdr/>
        <w:spacing w:line="276" w:lineRule="auto"/>
        <w:ind/>
        <w:rPr/>
      </w:pPr>
      <w:r>
        <w:t xml:space="preserve">Dveře</w:t>
      </w:r>
      <w:r/>
    </w:p>
    <w:p>
      <w:pPr>
        <w:pStyle w:val="1113"/>
        <w:pBdr/>
        <w:tabs>
          <w:tab w:val="clear" w:leader="none" w:pos="567"/>
        </w:tabs>
        <w:spacing w:line="276" w:lineRule="auto"/>
        <w:ind w:left="360"/>
        <w:jc w:val="left"/>
        <w:rPr/>
      </w:pPr>
      <w:r>
        <w:rPr>
          <w:b/>
        </w:rPr>
        <w:t xml:space="preserve">Vst</w:t>
      </w:r>
      <w:r>
        <w:rPr>
          <w:b/>
        </w:rPr>
        <w:t xml:space="preserve">upní dveře:</w:t>
      </w:r>
      <w:r/>
    </w:p>
    <w:p>
      <w:pPr>
        <w:pStyle w:val="1113"/>
        <w:pBdr/>
        <w:tabs>
          <w:tab w:val="clear" w:leader="none" w:pos="567"/>
        </w:tabs>
        <w:spacing w:line="276" w:lineRule="auto"/>
        <w:ind/>
        <w:jc w:val="both"/>
        <w:rPr/>
      </w:pPr>
      <w:r>
        <w:rPr>
          <w:highlight w:val="none"/>
        </w:rPr>
      </w:r>
      <w:r>
        <w:rPr>
          <w:highlight w:val="none"/>
        </w:rPr>
        <w:t xml:space="preserve">Do objektu kalolisovny</w:t>
      </w:r>
      <w:r>
        <w:rPr>
          <w:highlight w:val="none"/>
        </w:rPr>
        <w:t xml:space="preserve"> budou osazeny nové vstupní plastové dveře. Dveře budou bezpečnostní, jednokřídlé, bílé, otevírané dovnitř. Rám dveří bude ukotven v drážce ve zdivu. Rám bude ukotven do turbošroubů. Rozměr nutno doměřit na místě!! Nad vstupními dveřmi bude řešen překlad. </w:t>
      </w:r>
      <w:r>
        <w:rPr>
          <w:highlight w:val="none"/>
        </w:rPr>
      </w:r>
      <w:r/>
    </w:p>
    <w:p>
      <w:pPr>
        <w:pStyle w:val="1113"/>
        <w:pBdr/>
        <w:tabs>
          <w:tab w:val="clear" w:leader="none" w:pos="567"/>
        </w:tabs>
        <w:spacing w:line="276" w:lineRule="auto"/>
        <w:ind/>
        <w:jc w:val="left"/>
        <w:rPr/>
      </w:pPr>
      <w:r/>
      <w:r/>
    </w:p>
    <w:p>
      <w:pPr>
        <w:pStyle w:val="1113"/>
        <w:pBdr/>
        <w:tabs>
          <w:tab w:val="clear" w:leader="none" w:pos="567"/>
        </w:tabs>
        <w:spacing w:line="276" w:lineRule="auto"/>
        <w:ind w:firstLine="426"/>
        <w:jc w:val="left"/>
        <w:rPr>
          <w:b/>
        </w:rPr>
      </w:pPr>
      <w:r>
        <w:rPr>
          <w:b/>
        </w:rPr>
        <w:t xml:space="preserve">Specifikace dveří:</w:t>
      </w:r>
      <w:r>
        <w:rPr>
          <w:b/>
        </w:rPr>
      </w:r>
      <w:r>
        <w:rPr>
          <w:b/>
        </w:rPr>
      </w:r>
    </w:p>
    <w:p>
      <w:pPr>
        <w:pStyle w:val="1113"/>
        <w:pBdr/>
        <w:tabs>
          <w:tab w:val="clear" w:leader="none" w:pos="567"/>
        </w:tabs>
        <w:spacing w:line="276" w:lineRule="auto"/>
        <w:ind w:firstLine="567"/>
        <w:jc w:val="left"/>
        <w:rPr>
          <w:rFonts w:cs="Arial"/>
          <w:szCs w:val="22"/>
        </w:rPr>
      </w:pPr>
      <w:r>
        <w:rPr>
          <w:rFonts w:cs="Arial"/>
          <w:szCs w:val="22"/>
        </w:rPr>
        <w:t xml:space="preserve">barva rámu:  bílá</w:t>
      </w:r>
      <w:r>
        <w:rPr>
          <w:rFonts w:cs="Arial"/>
          <w:szCs w:val="22"/>
        </w:rPr>
      </w:r>
      <w:r>
        <w:rPr>
          <w:rFonts w:cs="Arial"/>
          <w:szCs w:val="22"/>
        </w:rPr>
      </w:r>
    </w:p>
    <w:p>
      <w:pPr>
        <w:pStyle w:val="1113"/>
        <w:pBdr/>
        <w:tabs>
          <w:tab w:val="clear" w:leader="none" w:pos="567"/>
        </w:tabs>
        <w:spacing w:line="276" w:lineRule="auto"/>
        <w:ind w:firstLine="567"/>
        <w:jc w:val="left"/>
        <w:rPr>
          <w:rFonts w:cs="Arial"/>
          <w:szCs w:val="22"/>
        </w:rPr>
      </w:pPr>
      <w:r>
        <w:rPr>
          <w:rFonts w:cs="Arial"/>
          <w:szCs w:val="22"/>
        </w:rPr>
        <w:t xml:space="preserve">barva křídla: bílá</w:t>
      </w:r>
      <w:r>
        <w:rPr>
          <w:rFonts w:cs="Arial"/>
          <w:szCs w:val="22"/>
        </w:rPr>
      </w:r>
      <w:r>
        <w:rPr>
          <w:rFonts w:cs="Arial"/>
          <w:szCs w:val="22"/>
        </w:rPr>
      </w:r>
    </w:p>
    <w:p>
      <w:pPr>
        <w:pStyle w:val="1113"/>
        <w:pBdr/>
        <w:tabs>
          <w:tab w:val="clear" w:leader="none" w:pos="567"/>
        </w:tabs>
        <w:spacing w:line="276" w:lineRule="auto"/>
        <w:ind w:firstLine="567"/>
        <w:jc w:val="left"/>
        <w:rPr>
          <w:rFonts w:cs="Arial"/>
          <w:szCs w:val="22"/>
        </w:rPr>
      </w:pPr>
      <w:r>
        <w:rPr>
          <w:rFonts w:cs="Arial"/>
          <w:szCs w:val="22"/>
        </w:rPr>
        <w:t xml:space="preserve">výplň: panel 24 mm bilý</w:t>
      </w:r>
      <w:r>
        <w:rPr>
          <w:rFonts w:cs="Arial"/>
          <w:szCs w:val="22"/>
        </w:rPr>
      </w:r>
      <w:r>
        <w:rPr>
          <w:rFonts w:cs="Arial"/>
          <w:szCs w:val="22"/>
        </w:rPr>
      </w:r>
    </w:p>
    <w:p>
      <w:pPr>
        <w:pStyle w:val="1113"/>
        <w:pBdr/>
        <w:tabs>
          <w:tab w:val="clear" w:leader="none" w:pos="567"/>
        </w:tabs>
        <w:spacing w:line="276" w:lineRule="auto"/>
        <w:ind w:firstLine="567"/>
        <w:jc w:val="left"/>
        <w:rPr>
          <w:rFonts w:cs="Arial"/>
          <w:szCs w:val="22"/>
        </w:rPr>
      </w:pPr>
      <w:r>
        <w:rPr>
          <w:rFonts w:cs="Arial"/>
          <w:szCs w:val="22"/>
        </w:rPr>
        <w:t xml:space="preserve">kování: 1 x VD M2 (2 klíny)</w:t>
      </w:r>
      <w:r>
        <w:rPr>
          <w:rFonts w:cs="Arial"/>
          <w:szCs w:val="22"/>
        </w:rPr>
      </w:r>
      <w:r>
        <w:rPr>
          <w:rFonts w:cs="Arial"/>
          <w:szCs w:val="22"/>
        </w:rPr>
      </w:r>
    </w:p>
    <w:p>
      <w:pPr>
        <w:pStyle w:val="1113"/>
        <w:pBdr/>
        <w:tabs>
          <w:tab w:val="clear" w:leader="none" w:pos="567"/>
        </w:tabs>
        <w:spacing w:line="276" w:lineRule="auto"/>
        <w:ind w:firstLine="567"/>
        <w:jc w:val="left"/>
        <w:rPr>
          <w:rFonts w:cs="Arial"/>
          <w:szCs w:val="22"/>
        </w:rPr>
      </w:pPr>
      <w:r>
        <w:rPr>
          <w:rFonts w:cs="Arial"/>
          <w:szCs w:val="22"/>
        </w:rPr>
        <w:t xml:space="preserve">práh</w:t>
      </w:r>
      <w:r>
        <w:rPr>
          <w:rFonts w:cs="Arial"/>
          <w:szCs w:val="22"/>
        </w:rPr>
        <w:t xml:space="preserve">: </w:t>
      </w:r>
      <w:r>
        <w:rPr>
          <w:rFonts w:cs="Arial"/>
          <w:szCs w:val="22"/>
        </w:rPr>
        <w:t xml:space="preserve">hliníkový s přerušovaným tepelným mostem</w:t>
      </w:r>
      <w:r>
        <w:rPr>
          <w:rFonts w:cs="Arial"/>
          <w:szCs w:val="22"/>
        </w:rPr>
      </w:r>
      <w:r>
        <w:rPr>
          <w:rFonts w:cs="Arial"/>
          <w:szCs w:val="22"/>
        </w:rPr>
      </w:r>
    </w:p>
    <w:p>
      <w:pPr>
        <w:pStyle w:val="1113"/>
        <w:pBdr/>
        <w:tabs>
          <w:tab w:val="clear" w:leader="none" w:pos="567"/>
        </w:tabs>
        <w:spacing w:line="276" w:lineRule="auto"/>
        <w:ind/>
        <w:jc w:val="left"/>
        <w:rPr/>
      </w:pPr>
      <w:r/>
      <w:r/>
    </w:p>
    <w:p>
      <w:pPr>
        <w:pStyle w:val="1117"/>
        <w:pBdr/>
        <w:spacing w:line="276" w:lineRule="auto"/>
        <w:ind/>
        <w:rPr/>
      </w:pPr>
      <w:r>
        <w:t xml:space="preserve">Okna</w:t>
      </w:r>
      <w:r/>
    </w:p>
    <w:p>
      <w:pPr>
        <w:pStyle w:val="1113"/>
        <w:pBdr/>
        <w:tabs>
          <w:tab w:val="clear" w:leader="none" w:pos="567"/>
        </w:tabs>
        <w:spacing w:line="276" w:lineRule="auto"/>
        <w:ind w:firstLine="567"/>
        <w:jc w:val="left"/>
        <w:rPr/>
      </w:pPr>
      <w:r>
        <w:t xml:space="preserve">V objektu kalolisovny budou dva okenní otvory. Okna plastová, zdvojená. Na okenními otvory budou řešeny překlady. </w:t>
      </w:r>
      <w:r/>
    </w:p>
    <w:p>
      <w:pPr>
        <w:pStyle w:val="1116"/>
        <w:pBdr/>
        <w:spacing w:line="276" w:lineRule="auto"/>
        <w:ind/>
        <w:rPr/>
      </w:pPr>
      <w:r/>
      <w:bookmarkStart w:id="16" w:name="_Toc16"/>
      <w:r>
        <w:t xml:space="preserve">VENTILACE DMYCHÁRNY</w:t>
      </w:r>
      <w:r/>
      <w:bookmarkEnd w:id="16"/>
      <w:r/>
      <w:r/>
    </w:p>
    <w:p>
      <w:pPr>
        <w:pStyle w:val="1113"/>
        <w:pBdr/>
        <w:spacing w:line="276" w:lineRule="auto"/>
        <w:ind/>
        <w:rPr>
          <w:highlight w:val="none"/>
        </w:rPr>
      </w:pPr>
      <w:r>
        <w:tab/>
        <w:t xml:space="preserve">Odvětrání prostoru dmychárny je řešeno tímto způsobem:</w:t>
      </w:r>
      <w:r>
        <w:rPr>
          <w:highlight w:val="none"/>
        </w:rPr>
      </w:r>
      <w:r>
        <w:rPr>
          <w:highlight w:val="none"/>
        </w:rPr>
      </w:r>
    </w:p>
    <w:p w14:paraId="43D48A59">
      <w:pPr>
        <w:pStyle w:val="1113"/>
        <w:pBdr/>
        <w:spacing w:line="276" w:lineRule="auto"/>
        <w:ind/>
        <w:rPr>
          <w:highlight w:val="none"/>
        </w:rPr>
      </w:pPr>
      <w:r>
        <w:rPr>
          <w:highlight w:val="none"/>
        </w:rPr>
        <w:t xml:space="preserve">Přívod vzduchu z venkovního prostoru je otvorem ve zdi, který je opatřen zvukovým ochranným krytem, z vnější strany osazen nerezovou protideš</w:t>
      </w:r>
      <w:r>
        <w:rPr>
          <w:highlight w:val="none"/>
        </w:rPr>
        <w:t xml:space="preserve">ťovou žaluzií. Odvod vyhřátého vzduchu zajiš</w:t>
      </w:r>
      <w:r>
        <w:rPr>
          <w:highlight w:val="none"/>
        </w:rPr>
        <w:t xml:space="preserve">ťuje axiální nástěnný ventilátor (do prostoru budovy – temperace), otvor je opatřen rovněž zvukovým ochranným krytem. Chod ventilátoru je ovládán teplotním čidlem. </w:t>
      </w:r>
      <w:r>
        <w:rPr>
          <w:highlight w:val="none"/>
        </w:rPr>
      </w:r>
      <w:r>
        <w:rPr>
          <w:highlight w:val="none"/>
        </w:rPr>
      </w:r>
    </w:p>
    <w:p>
      <w:pPr>
        <w:pStyle w:val="1115"/>
        <w:pBdr/>
        <w:spacing w:line="276" w:lineRule="auto"/>
        <w:ind/>
        <w:rPr/>
      </w:pPr>
      <w:r/>
      <w:bookmarkStart w:id="17" w:name="_Toc17"/>
      <w:r>
        <w:t xml:space="preserve">so 01.3 stavebně – konstrukční řešení</w:t>
      </w:r>
      <w:r/>
      <w:bookmarkEnd w:id="17"/>
      <w:r/>
      <w:r/>
    </w:p>
    <w:p>
      <w:pPr>
        <w:pStyle w:val="1113"/>
        <w:pBdr/>
        <w:spacing w:line="276" w:lineRule="auto"/>
        <w:ind/>
        <w:rPr/>
      </w:pPr>
      <w:r>
        <w:t xml:space="preserve">Stavebně konstrukční řešení je nedílnou součástí této dokumentace. </w:t>
      </w:r>
      <w:r/>
    </w:p>
    <w:p>
      <w:pPr>
        <w:pStyle w:val="1115"/>
        <w:pBdr/>
        <w:spacing w:line="276" w:lineRule="auto"/>
        <w:ind/>
        <w:rPr/>
      </w:pPr>
      <w:r/>
      <w:bookmarkStart w:id="18" w:name="_Toc18"/>
      <w:r>
        <w:t xml:space="preserve">SO 01.5 – ELEKTRO-STAVEBNÍ ČÁST</w:t>
      </w:r>
      <w:r>
        <w:t xml:space="preserve"> </w:t>
      </w:r>
      <w:r/>
      <w:bookmarkEnd w:id="18"/>
      <w:r/>
      <w:r/>
    </w:p>
    <w:p>
      <w:pPr>
        <w:pStyle w:val="1113"/>
        <w:pBdr/>
        <w:spacing w:line="276" w:lineRule="auto"/>
        <w:ind/>
        <w:rPr>
          <w:highlight w:val="none"/>
        </w:rPr>
      </w:pPr>
      <w:r>
        <w:tab/>
        <w:t xml:space="preserve">Elektro-stavební část nové budovy ČOV je řešena v příslušných přílohách této PD. Součástí elektro stavební části je návrh osvětlení a zásuvek v prostorech objektu. </w:t>
      </w:r>
      <w:r>
        <w:rPr>
          <w:highlight w:val="none"/>
        </w:rPr>
        <w:t xml:space="preserve"> </w:t>
      </w:r>
      <w:r>
        <w:rPr>
          <w:highlight w:val="none"/>
        </w:rPr>
      </w:r>
      <w:r>
        <w:rPr>
          <w:highlight w:val="none"/>
        </w:rPr>
      </w:r>
    </w:p>
    <w:p>
      <w:pPr>
        <w:pStyle w:val="1115"/>
        <w:pBdr/>
        <w:spacing w:line="276" w:lineRule="auto"/>
        <w:ind/>
        <w:rPr/>
      </w:pPr>
      <w:r/>
      <w:bookmarkStart w:id="19" w:name="_Toc19"/>
      <w:r>
        <w:t xml:space="preserve">PS 01 – STROJNĚ – TECHNOLOGICKÁ ČÁST</w:t>
      </w:r>
      <w:r/>
      <w:bookmarkEnd w:id="19"/>
      <w:r/>
      <w:r/>
    </w:p>
    <w:p>
      <w:pPr>
        <w:pStyle w:val="1113"/>
        <w:pBdr/>
        <w:spacing w:line="276" w:lineRule="auto"/>
        <w:ind/>
        <w:rPr/>
      </w:pPr>
      <w:r>
        <w:t xml:space="preserve">Strojně - technologická část objektu nové budovy ČOV je řešena v příslušných přílohách této PD. </w:t>
      </w:r>
      <w:r/>
    </w:p>
    <w:p>
      <w:pPr>
        <w:pStyle w:val="1115"/>
        <w:pBdr/>
        <w:spacing w:line="276" w:lineRule="auto"/>
        <w:ind/>
        <w:rPr/>
      </w:pPr>
      <w:r/>
      <w:bookmarkStart w:id="20" w:name="_Toc20"/>
      <w:r>
        <w:t xml:space="preserve">PS 02 – ELEKTRO – TECHNOLOGICKÁ ČÁST</w:t>
      </w:r>
      <w:r>
        <w:t xml:space="preserve"> </w:t>
      </w:r>
      <w:r/>
      <w:bookmarkEnd w:id="20"/>
      <w:r/>
      <w:r/>
    </w:p>
    <w:p>
      <w:pPr>
        <w:pStyle w:val="1113"/>
        <w:pBdr/>
        <w:spacing w:line="276" w:lineRule="auto"/>
        <w:ind/>
        <w:rPr/>
      </w:pPr>
      <w:r>
        <w:t xml:space="preserve">Elektro - technologická část objektu nové budovy ČOV je řešena v příslušných přílohách této PD. </w:t>
      </w:r>
      <w:r/>
    </w:p>
    <w:p>
      <w:pPr>
        <w:pStyle w:val="1114"/>
        <w:pBdr/>
        <w:spacing w:line="276" w:lineRule="auto"/>
        <w:ind/>
        <w:rPr/>
      </w:pPr>
      <w:r/>
      <w:bookmarkStart w:id="21" w:name="_Toc21"/>
      <w:r>
        <w:t xml:space="preserve">požadavky na postup stavebních a montážních prací</w:t>
      </w:r>
      <w:r/>
      <w:bookmarkEnd w:id="21"/>
      <w:r/>
      <w:r/>
    </w:p>
    <w:p>
      <w:pPr>
        <w:pStyle w:val="1113"/>
        <w:pBdr/>
        <w:spacing w:line="276" w:lineRule="auto"/>
        <w:ind/>
        <w:rPr/>
      </w:pPr>
      <w:r>
        <w:tab/>
        <w:t xml:space="preserve">Požadavky na postup stavebních a montážních prací respektují nařízení vlády</w:t>
      </w:r>
      <w:r/>
    </w:p>
    <w:p>
      <w:pPr>
        <w:pStyle w:val="1113"/>
        <w:pBdr/>
        <w:spacing w:line="276" w:lineRule="auto"/>
        <w:ind/>
        <w:rPr/>
      </w:pPr>
      <w:r>
        <w:t xml:space="preserve"> č. 591/2006 Sb., které nabylo účinnosti dne 1. ledna 2007, a které stanoví bližší minimální pož</w:t>
      </w:r>
      <w:r>
        <w:t xml:space="preserve">a</w:t>
      </w:r>
      <w:r>
        <w:t xml:space="preserve">davky na be</w:t>
      </w:r>
      <w:r>
        <w:t xml:space="preserve">z</w:t>
      </w:r>
      <w:r>
        <w:t xml:space="preserve">pečnost a ochranu zdraví při práci na staveništích, příloha č. 3.</w:t>
      </w:r>
      <w:r/>
    </w:p>
    <w:p>
      <w:pPr>
        <w:pStyle w:val="1113"/>
        <w:pBdr/>
        <w:spacing w:line="276" w:lineRule="auto"/>
        <w:ind/>
        <w:rPr/>
      </w:pPr>
      <w:r>
        <w:tab/>
        <w:t xml:space="preserve">Stavba nemá žádné speciální nároky na postup stavebních prací. Stavební práce budou prob</w:t>
      </w:r>
      <w:r>
        <w:t xml:space="preserve">í</w:t>
      </w:r>
      <w:r>
        <w:t xml:space="preserve">hat dle běžných zvyklostí, tzn. práce HSV, PSV a terénní úpravy.</w:t>
      </w:r>
      <w:r/>
    </w:p>
    <w:p>
      <w:pPr>
        <w:pStyle w:val="1113"/>
        <w:pBdr/>
        <w:spacing w:line="276" w:lineRule="auto"/>
        <w:ind/>
        <w:rPr/>
      </w:pPr>
      <w:r>
        <w:t xml:space="preserve">Pro provádění montážních prací bude zpracován technologický postup montáže s u</w:t>
      </w:r>
      <w:r>
        <w:t xml:space="preserve">r</w:t>
      </w:r>
      <w:r>
        <w:t xml:space="preserve">čením</w:t>
      </w:r>
      <w:r/>
    </w:p>
    <w:p>
      <w:pPr>
        <w:pStyle w:val="1113"/>
        <w:pBdr/>
        <w:spacing w:line="276" w:lineRule="auto"/>
        <w:ind/>
        <w:rPr/>
      </w:pPr>
      <w:r>
        <w:t xml:space="preserve">podmínek pro nasazení a pohyb mechanizačních prostředků, zabezpečení dotčených pracovišť a zajištění pracovníků proti pádu z výšky.</w:t>
      </w:r>
      <w:r/>
    </w:p>
    <w:p>
      <w:pPr>
        <w:pStyle w:val="1113"/>
        <w:pBdr/>
        <w:spacing w:line="276" w:lineRule="auto"/>
        <w:ind/>
        <w:rPr/>
      </w:pPr>
      <w:r>
        <w:rPr>
          <w:b/>
        </w:rPr>
        <w:t xml:space="preserve">Před zahájením stavby musí investor zajistit vytýčení všech podzemních investic, aby n</w:t>
      </w:r>
      <w:r>
        <w:rPr>
          <w:b/>
        </w:rPr>
        <w:t xml:space="preserve">e</w:t>
      </w:r>
      <w:r>
        <w:rPr>
          <w:b/>
        </w:rPr>
        <w:t xml:space="preserve">došlo k jejich poškození,</w:t>
      </w:r>
      <w:r>
        <w:t xml:space="preserve"> zejména energetických a komunikačních vedení, vodovodní sítě, v mí</w:t>
      </w:r>
      <w:r>
        <w:t xml:space="preserve">s</w:t>
      </w:r>
      <w:r>
        <w:t xml:space="preserve">tě jejich střetu se stavbou, popřípadě jiné podzemní a nadzemní překážky nacházející se na st</w:t>
      </w:r>
      <w:r>
        <w:t xml:space="preserve">a</w:t>
      </w:r>
      <w:r>
        <w:t xml:space="preserve">veništi.</w:t>
      </w:r>
      <w:r/>
    </w:p>
    <w:p>
      <w:pPr>
        <w:pStyle w:val="1113"/>
        <w:pBdr/>
        <w:spacing w:line="276" w:lineRule="auto"/>
        <w:ind w:firstLine="708"/>
        <w:rPr/>
      </w:pPr>
      <w:r>
        <w:t xml:space="preserve">Před zahájením zemních prací musí být určeno rozmístění stavebních výkopů a jam a j</w:t>
      </w:r>
      <w:r>
        <w:t xml:space="preserve">e</w:t>
      </w:r>
      <w:r>
        <w:t xml:space="preserve">jich rozměry a určeny způsoby těžení zeminy, zajištění stěn výkopů proti sesutí, zejména druh </w:t>
      </w:r>
      <w:r/>
    </w:p>
    <w:p>
      <w:pPr>
        <w:pStyle w:val="1152"/>
        <w:pBdr/>
        <w:spacing w:line="276" w:lineRule="auto"/>
        <w:ind w:firstLine="708"/>
        <w:rPr>
          <w:sz w:val="22"/>
        </w:rPr>
      </w:pPr>
      <w:r>
        <w:rPr>
          <w:sz w:val="22"/>
        </w:rPr>
        <w:t xml:space="preserve">Veškeré výkopové práce v ochranných pásmech stávajících rozvodů se musí provádět ru</w:t>
      </w:r>
      <w:r>
        <w:rPr>
          <w:sz w:val="22"/>
        </w:rPr>
        <w:t xml:space="preserve">č</w:t>
      </w:r>
      <w:r>
        <w:rPr>
          <w:sz w:val="22"/>
        </w:rPr>
        <w:t xml:space="preserve">ně. Před jejich odkrytím je nutné uvědomit správce, zajistit ochranu proti porušení a jiným vnějším účinkům a řídit se jeho podmínkami.</w:t>
      </w:r>
      <w:r>
        <w:rPr>
          <w:sz w:val="22"/>
        </w:rPr>
      </w:r>
      <w:r>
        <w:rPr>
          <w:sz w:val="22"/>
        </w:rPr>
      </w:r>
    </w:p>
    <w:p>
      <w:pPr>
        <w:pStyle w:val="1115"/>
        <w:pBdr/>
        <w:spacing w:line="276" w:lineRule="auto"/>
        <w:ind/>
        <w:rPr/>
      </w:pPr>
      <w:r/>
      <w:bookmarkStart w:id="22" w:name="_Toc22"/>
      <w:r>
        <w:t xml:space="preserve">POPIS PŘÍPRAVNÝCH, SOUVISEJÍCÍCH A DOKONČUJÍCÍCH PRACÍ</w:t>
      </w:r>
      <w:r>
        <w:t xml:space="preserve"> </w:t>
      </w:r>
      <w:r/>
      <w:bookmarkEnd w:id="22"/>
      <w:r/>
      <w:r/>
    </w:p>
    <w:p>
      <w:pPr>
        <w:pStyle w:val="1113"/>
        <w:numPr>
          <w:ilvl w:val="0"/>
          <w:numId w:val="18"/>
        </w:numPr>
        <w:pBdr/>
        <w:spacing w:line="276" w:lineRule="auto"/>
        <w:ind/>
        <w:rPr/>
      </w:pPr>
      <w:r>
        <w:rPr>
          <w:i/>
          <w:u w:val="single"/>
        </w:rPr>
        <w:t xml:space="preserve">Vybudování, provozování a zrušení nutného zařízení stavenišť</w:t>
      </w:r>
      <w:r>
        <w:t xml:space="preserve"> </w:t>
      </w:r>
      <w:r/>
    </w:p>
    <w:p>
      <w:pPr>
        <w:pStyle w:val="1154"/>
        <w:pBdr/>
        <w:spacing w:line="276" w:lineRule="auto"/>
        <w:ind/>
        <w:rPr>
          <w:highlight w:val="none"/>
        </w:rPr>
      </w:pPr>
      <w:r>
        <w:tab/>
        <w:t xml:space="preserve">Uchazeč se obeznámí se situací stavby ohledně přísunu materiálu, vzdáleností, odvozu v</w:t>
      </w:r>
      <w:r>
        <w:t xml:space="preserve">y</w:t>
      </w:r>
      <w:r>
        <w:t xml:space="preserve">bouraného m</w:t>
      </w:r>
      <w:r>
        <w:t xml:space="preserve">a</w:t>
      </w:r>
      <w:r>
        <w:t xml:space="preserve">teriálu atd.</w:t>
      </w:r>
      <w:r>
        <w:rPr>
          <w:highlight w:val="none"/>
        </w:rPr>
      </w:r>
      <w:r>
        <w:rPr>
          <w:highlight w:val="none"/>
        </w:rPr>
      </w:r>
    </w:p>
    <w:p>
      <w:pPr>
        <w:pStyle w:val="1154"/>
        <w:pBdr/>
        <w:spacing w:line="276" w:lineRule="auto"/>
        <w:ind/>
        <w:rPr/>
      </w:pPr>
      <w:r>
        <w:rPr>
          <w:highlight w:val="none"/>
        </w:rPr>
      </w:r>
      <w:r>
        <w:rPr>
          <w:highlight w:val="none"/>
        </w:rPr>
      </w:r>
      <w:r/>
    </w:p>
    <w:p>
      <w:pPr>
        <w:pStyle w:val="1113"/>
        <w:numPr>
          <w:ilvl w:val="0"/>
          <w:numId w:val="18"/>
        </w:numPr>
        <w:pBdr/>
        <w:spacing w:line="276" w:lineRule="auto"/>
        <w:ind/>
        <w:jc w:val="left"/>
        <w:rPr/>
      </w:pPr>
      <w:r>
        <w:rPr>
          <w:i/>
          <w:u w:val="single"/>
        </w:rPr>
        <w:t xml:space="preserve">Lešení</w:t>
      </w:r>
      <w:r>
        <w:t xml:space="preserve"> </w:t>
      </w:r>
      <w:r/>
    </w:p>
    <w:p>
      <w:pPr>
        <w:pStyle w:val="1154"/>
        <w:pBdr/>
        <w:spacing w:line="276" w:lineRule="auto"/>
        <w:ind/>
        <w:rPr>
          <w:highlight w:val="none"/>
        </w:rPr>
      </w:pPr>
      <w:r>
        <w:tab/>
        <w:t xml:space="preserve">montáž a demontáž celoplošného lešení po celou dobu stavby včetně nezbytných doplňků, jeho nezbytné přestavby, posuny a úpravy - vše v rozsahu nutném pro provedení díla</w:t>
      </w:r>
      <w:r>
        <w:rPr>
          <w:highlight w:val="none"/>
        </w:rPr>
      </w:r>
      <w:r>
        <w:rPr>
          <w:highlight w:val="none"/>
        </w:rPr>
      </w:r>
    </w:p>
    <w:p>
      <w:pPr>
        <w:pStyle w:val="1154"/>
        <w:pBdr/>
        <w:spacing w:line="276" w:lineRule="auto"/>
        <w:ind/>
        <w:rPr/>
      </w:pPr>
      <w:r>
        <w:rPr>
          <w:highlight w:val="none"/>
        </w:rPr>
      </w:r>
      <w:r>
        <w:rPr>
          <w:highlight w:val="none"/>
        </w:rPr>
      </w:r>
      <w:r/>
    </w:p>
    <w:p>
      <w:pPr>
        <w:pStyle w:val="1113"/>
        <w:numPr>
          <w:ilvl w:val="0"/>
          <w:numId w:val="18"/>
        </w:numPr>
        <w:pBdr/>
        <w:spacing w:line="276" w:lineRule="auto"/>
        <w:ind/>
        <w:jc w:val="left"/>
        <w:rPr>
          <w:i/>
          <w:u w:val="single"/>
        </w:rPr>
      </w:pPr>
      <w:r>
        <w:rPr>
          <w:i/>
          <w:u w:val="single"/>
        </w:rPr>
        <w:t xml:space="preserve">Odpad</w:t>
      </w:r>
      <w:r>
        <w:rPr>
          <w:i/>
          <w:u w:val="single"/>
        </w:rPr>
      </w:r>
      <w:r>
        <w:rPr>
          <w:i/>
          <w:u w:val="single"/>
        </w:rPr>
      </w:r>
    </w:p>
    <w:p>
      <w:pPr>
        <w:pStyle w:val="1154"/>
        <w:pBdr/>
        <w:spacing w:line="276" w:lineRule="auto"/>
        <w:ind/>
        <w:rPr>
          <w:highlight w:val="none"/>
        </w:rPr>
      </w:pPr>
      <w:r>
        <w:tab/>
        <w:t xml:space="preserve">Odvoz a likvidace odpadu v souladu s platnou legislativou, zhotovitel předloží doklady o l</w:t>
      </w:r>
      <w:r>
        <w:t xml:space="preserve">i</w:t>
      </w:r>
      <w:r>
        <w:t xml:space="preserve">kvidaci odpadu</w:t>
      </w:r>
      <w:r>
        <w:rPr>
          <w:highlight w:val="none"/>
        </w:rPr>
      </w:r>
      <w:r>
        <w:rPr>
          <w:highlight w:val="none"/>
        </w:rPr>
      </w:r>
    </w:p>
    <w:p>
      <w:pPr>
        <w:pStyle w:val="1154"/>
        <w:pBdr/>
        <w:spacing w:line="276" w:lineRule="auto"/>
        <w:ind/>
        <w:rPr/>
      </w:pPr>
      <w:r>
        <w:rPr>
          <w:highlight w:val="none"/>
        </w:rPr>
      </w:r>
      <w:r>
        <w:rPr>
          <w:highlight w:val="none"/>
        </w:rPr>
      </w:r>
      <w:r/>
    </w:p>
    <w:p>
      <w:pPr>
        <w:pStyle w:val="1113"/>
        <w:numPr>
          <w:ilvl w:val="0"/>
          <w:numId w:val="18"/>
        </w:numPr>
        <w:pBdr/>
        <w:spacing w:line="276" w:lineRule="auto"/>
        <w:ind/>
        <w:jc w:val="left"/>
        <w:rPr/>
      </w:pPr>
      <w:r>
        <w:rPr>
          <w:i/>
          <w:u w:val="single"/>
        </w:rPr>
        <w:t xml:space="preserve">Uvedení do původního stavu</w:t>
      </w:r>
      <w:r>
        <w:t xml:space="preserve"> </w:t>
      </w:r>
      <w:r/>
    </w:p>
    <w:p>
      <w:pPr>
        <w:pStyle w:val="1113"/>
        <w:pBdr/>
        <w:spacing w:line="276" w:lineRule="auto"/>
        <w:ind/>
        <w:jc w:val="left"/>
        <w:rPr>
          <w:highlight w:val="none"/>
        </w:rPr>
      </w:pPr>
      <w:r>
        <w:tab/>
        <w:t xml:space="preserve">Zhotovitel provede obslužné komunikace a přilehlé prostory do původního stavu, či dle návrhu terénních úprav dle PD. </w:t>
      </w:r>
      <w:r>
        <w:rPr>
          <w:highlight w:val="none"/>
        </w:rPr>
      </w:r>
      <w:r>
        <w:rPr>
          <w:highlight w:val="none"/>
        </w:rPr>
      </w:r>
    </w:p>
    <w:p>
      <w:pPr>
        <w:pStyle w:val="1113"/>
        <w:pBdr/>
        <w:spacing w:line="276" w:lineRule="auto"/>
        <w:ind/>
        <w:jc w:val="left"/>
        <w:rPr/>
      </w:pPr>
      <w:r>
        <w:rPr>
          <w:highlight w:val="none"/>
        </w:rPr>
      </w:r>
      <w:r>
        <w:rPr>
          <w:highlight w:val="none"/>
        </w:rPr>
      </w:r>
      <w:r/>
    </w:p>
    <w:p>
      <w:pPr>
        <w:pStyle w:val="1113"/>
        <w:numPr>
          <w:ilvl w:val="0"/>
          <w:numId w:val="15"/>
        </w:numPr>
        <w:pBdr/>
        <w:spacing w:line="276" w:lineRule="auto"/>
        <w:ind/>
        <w:jc w:val="left"/>
        <w:rPr>
          <w:i/>
          <w:u w:val="single"/>
        </w:rPr>
      </w:pPr>
      <w:r>
        <w:rPr>
          <w:i/>
          <w:u w:val="single"/>
        </w:rPr>
        <w:t xml:space="preserve">Provizorní zásobování obyvatel během stavby</w:t>
      </w:r>
      <w:r>
        <w:rPr>
          <w:i/>
          <w:u w:val="single"/>
        </w:rPr>
      </w:r>
      <w:r>
        <w:rPr>
          <w:i/>
          <w:u w:val="single"/>
        </w:rPr>
      </w:r>
    </w:p>
    <w:p>
      <w:pPr>
        <w:pStyle w:val="1113"/>
        <w:pBdr/>
        <w:spacing w:line="276" w:lineRule="auto"/>
        <w:ind/>
        <w:rPr>
          <w:highlight w:val="none"/>
        </w:rPr>
      </w:pPr>
      <w:r>
        <w:tab/>
        <w:t xml:space="preserve">Netýká se. </w:t>
      </w:r>
      <w:r>
        <w:rPr>
          <w:highlight w:val="none"/>
        </w:rPr>
      </w:r>
      <w:r>
        <w:rPr>
          <w:highlight w:val="none"/>
        </w:rPr>
      </w:r>
    </w:p>
    <w:p>
      <w:pPr>
        <w:pStyle w:val="1113"/>
        <w:pBdr/>
        <w:spacing w:line="276" w:lineRule="auto"/>
        <w:ind/>
        <w:rPr/>
      </w:pPr>
      <w:r>
        <w:rPr>
          <w:highlight w:val="none"/>
        </w:rPr>
      </w:r>
      <w:r>
        <w:rPr>
          <w:highlight w:val="none"/>
        </w:rPr>
      </w:r>
      <w:r/>
    </w:p>
    <w:p>
      <w:pPr>
        <w:pStyle w:val="1113"/>
        <w:pBdr/>
        <w:spacing w:line="276" w:lineRule="auto"/>
        <w:ind/>
        <w:rPr/>
      </w:pPr>
      <w:r/>
      <w:r/>
    </w:p>
    <w:p>
      <w:pPr>
        <w:pStyle w:val="1113"/>
        <w:pBdr/>
        <w:spacing w:line="276" w:lineRule="auto"/>
        <w:ind/>
        <w:rPr/>
      </w:pPr>
      <w:r/>
      <w:r/>
    </w:p>
    <w:p>
      <w:pPr>
        <w:pStyle w:val="1113"/>
        <w:pBdr/>
        <w:spacing w:line="276" w:lineRule="auto"/>
        <w:ind/>
        <w:rPr/>
      </w:pPr>
      <w:r>
        <w:t xml:space="preserve">V Praze, červen 2025</w:t>
        <w:tab/>
        <w:tab/>
        <w:tab/>
        <w:tab/>
        <w:tab/>
        <w:tab/>
        <w:tab/>
        <w:tab/>
        <w:t xml:space="preserve">Vypracovala: Ing. Pittnerová</w:t>
      </w:r>
      <w:r/>
    </w:p>
    <w:sectPr>
      <w:headerReference w:type="default" r:id="rId9"/>
      <w:footerReference w:type="default" r:id="rId10"/>
      <w:footnotePr/>
      <w:endnotePr/>
      <w:type w:val="nextPage"/>
      <w:pgSz w:h="16840" w:orient="portrait" w:w="11907"/>
      <w:pgMar w:top="1701" w:right="1134" w:bottom="1701" w:left="1418" w:header="680" w:footer="96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Courier New">
    <w:panose1 w:val="02070309020205020404"/>
  </w:font>
  <w:font w:name="Symbol">
    <w:panose1 w:val="05010000000000000000"/>
  </w:font>
  <w:font w:name="Calibri Light">
    <w:panose1 w:val="020F0502020204030204"/>
  </w:font>
  <w:font w:name="SuperFrench">
    <w:panose1 w:val="05040102010807070707"/>
  </w:font>
  <w:font w:name="Tahoma">
    <w:panose1 w:val="020B0604030504040204"/>
  </w:font>
  <w:font w:name="Times New Roman">
    <w:panose1 w:val="020206030504050203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7"/>
      <w:pBdr>
        <w:top w:val="single" w:color="000000" w:sz="6" w:space="1"/>
        <w:left w:val="single" w:color="000000" w:sz="6" w:space="1"/>
        <w:bottom w:val="single" w:color="000000" w:sz="6" w:space="1"/>
        <w:right w:val="single" w:color="000000" w:sz="6" w:space="1"/>
      </w:pBdr>
      <w:spacing/>
      <w:ind/>
      <w:rPr>
        <w:rFonts w:cs="Arial"/>
        <w:i/>
        <w:sz w:val="20"/>
      </w:rPr>
    </w:pPr>
    <w:r>
      <w:rPr>
        <w:rFonts w:cs="Arial"/>
        <w:i/>
        <w:sz w:val="20"/>
      </w:rPr>
      <w:t xml:space="preserve">Vodohospodářské inženýrské služby a.s.</w:t>
      <w:tab/>
      <w:t xml:space="preserve">1</w:t>
      <w:tab/>
    </w:r>
    <w:r>
      <w:rPr>
        <w:rFonts w:cs="Arial"/>
        <w:i/>
        <w:sz w:val="20"/>
      </w:rPr>
      <w:t xml:space="preserve">červen</w:t>
    </w:r>
    <w:r>
      <w:rPr>
        <w:rFonts w:cs="Arial"/>
        <w:i/>
        <w:sz w:val="20"/>
      </w:rPr>
      <w:t xml:space="preserve">, 2025</w:t>
    </w:r>
    <w:r>
      <w:rPr>
        <w:rFonts w:cs="Arial"/>
        <w:i/>
        <w:sz w:val="20"/>
      </w:rPr>
    </w:r>
    <w:r>
      <w:rPr>
        <w:rFonts w:cs="Arial"/>
        <w:i/>
        <w:sz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6"/>
      <w:pBdr/>
      <w:spacing/>
      <w:ind/>
      <w:rPr>
        <w:i/>
      </w:rPr>
    </w:pPr>
    <w:r>
      <w:rPr>
        <w:i/>
      </w:rPr>
      <w:t xml:space="preserve">ČOV Třebotov – navýšení kapacity</w:t>
      <w:tab/>
      <w:tab/>
    </w:r>
    <w:r>
      <w:rPr>
        <w:i/>
      </w:rPr>
      <w:t xml:space="preserve">D.2.00 TECHNICKÁ ZPRÁVA</w:t>
    </w:r>
    <w:r>
      <w:rPr>
        <w:i/>
      </w:rPr>
    </w:r>
    <w:r>
      <w:rPr>
        <w:i/>
      </w:rPr>
    </w:r>
  </w:p>
  <w:p>
    <w:pPr>
      <w:pStyle w:val="1126"/>
      <w:pBdr/>
      <w:spacing/>
      <w:ind/>
      <w:rPr>
        <w:i/>
      </w:rPr>
    </w:pPr>
    <w:r>
      <w:rPr>
        <w:i/>
      </w:rPr>
      <w:t xml:space="preserve">Dokumentace pro provedení stavby (DPS)</w:t>
      <w:tab/>
      <w:tab/>
      <w:t xml:space="preserve">č. zak. 3/25-005</w:t>
    </w:r>
    <w:r>
      <w:rPr>
        <w:i/>
      </w:rPr>
    </w:r>
    <w:r>
      <w:rPr>
        <w:i/>
      </w:rPr>
    </w:r>
  </w:p>
  <w:p>
    <w:pPr>
      <w:pStyle w:val="1113"/>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lvl w:ilvl="0">
      <w:isLgl w:val="false"/>
      <w:legacy w:legacy="true" w:legacyIndent="0" w:legacySpace="0"/>
      <w:lvlJc w:val="left"/>
      <w:lvlText w:val="%1."/>
      <w:numFmt w:val="decimal"/>
      <w:pPr>
        <w:pBdr/>
        <w:spacing/>
        <w:ind w:hanging="360" w:left="360"/>
      </w:pPr>
      <w:pStyle w:val="1114"/>
      <w:rPr/>
      <w:start w:val="1"/>
      <w:suff w:val="tab"/>
    </w:lvl>
    <w:lvl w:ilvl="1">
      <w:isLgl w:val="false"/>
      <w:legacy w:legacy="true" w:legacyIndent="0" w:legacySpace="0"/>
      <w:lvlJc w:val="left"/>
      <w:lvlText w:val="%1.%2."/>
      <w:numFmt w:val="decimal"/>
      <w:pPr>
        <w:pBdr/>
        <w:spacing/>
        <w:ind/>
      </w:pPr>
      <w:pStyle w:val="1115"/>
      <w:rPr/>
      <w:start w:val="1"/>
      <w:suff w:val="tab"/>
    </w:lvl>
    <w:lvl w:ilvl="2">
      <w:isLgl w:val="false"/>
      <w:legacy w:legacy="true" w:legacyIndent="0" w:legacySpace="0"/>
      <w:lvlJc w:val="left"/>
      <w:lvlText w:val="%1.%2.%3."/>
      <w:numFmt w:val="decimal"/>
      <w:pPr>
        <w:pBdr/>
        <w:spacing/>
        <w:ind/>
      </w:pPr>
      <w:pStyle w:val="1116"/>
      <w:rPr/>
      <w:start w:val="1"/>
      <w:suff w:val="tab"/>
    </w:lvl>
    <w:lvl w:ilvl="3">
      <w:isLgl w:val="false"/>
      <w:legacy w:legacy="true" w:legacyIndent="0" w:legacySpace="0"/>
      <w:lvlJc w:val="left"/>
      <w:lvlText w:val="%1.%2.%3.%4."/>
      <w:numFmt w:val="decimal"/>
      <w:pPr>
        <w:pBdr/>
        <w:spacing/>
        <w:ind/>
      </w:pPr>
      <w:pStyle w:val="1117"/>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pStyle w:val="1121"/>
      <w:rPr/>
      <w:start w:val="0"/>
      <w:suff w:val="tab"/>
    </w:lvl>
    <w:lvl w:ilvl="8">
      <w:isLgl w:val="false"/>
      <w:lvlJc w:val="left"/>
      <w:lvlText w:val=""/>
      <w:numFmt w:val="decimal"/>
      <w:pPr>
        <w:pBdr/>
        <w:spacing/>
        <w:ind/>
      </w:pPr>
      <w:pStyle w:val="1122"/>
      <w:rPr/>
      <w:start w:val="0"/>
      <w:suff w:val="tab"/>
    </w:lvl>
  </w:abstractNum>
  <w:abstractNum w:abstractNumId="1">
    <w:nsid w:val="01246A22"/>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2">
    <w:nsid w:val="012F179C"/>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79218FF"/>
    <w:lvl w:ilvl="0">
      <w:isLgl w:val="false"/>
      <w:lvlJc w:val="left"/>
      <w:lvlText w:val=""/>
      <w:numFmt w:val="bullet"/>
      <w:pPr>
        <w:pBdr/>
        <w:spacing/>
        <w:ind w:hanging="360" w:left="1080"/>
      </w:pPr>
      <w:rPr>
        <w:rFonts w:ascii="Symbol" w:hAnsi="Symbol"/>
      </w:rPr>
      <w:start w:val="1"/>
      <w:suff w:val="tab"/>
    </w:lvl>
    <w:lvl w:ilvl="1">
      <w:isLgl w:val="false"/>
      <w:lvlJc w:val="left"/>
      <w:lvlText w:val="o"/>
      <w:numFmt w:val="bullet"/>
      <w:pPr>
        <w:pBdr/>
        <w:spacing/>
        <w:ind w:hanging="360" w:left="1800"/>
      </w:pPr>
      <w:rPr>
        <w:rFonts w:ascii="Courier New" w:hAnsi="Courier New" w:cs="Courier New"/>
      </w:rPr>
      <w:start w:val="1"/>
      <w:suff w:val="tab"/>
    </w:lvl>
    <w:lvl w:ilvl="2">
      <w:isLgl w:val="false"/>
      <w:lvlJc w:val="left"/>
      <w:lvlText w:val=""/>
      <w:numFmt w:val="bullet"/>
      <w:pPr>
        <w:pBdr/>
        <w:spacing/>
        <w:ind w:hanging="360" w:left="2520"/>
      </w:pPr>
      <w:rPr>
        <w:rFonts w:ascii="Wingdings" w:hAnsi="Wingdings"/>
      </w:rPr>
      <w:start w:val="1"/>
      <w:suff w:val="tab"/>
    </w:lvl>
    <w:lvl w:ilvl="3">
      <w:isLgl w:val="false"/>
      <w:lvlJc w:val="left"/>
      <w:lvlText w:val=""/>
      <w:numFmt w:val="bullet"/>
      <w:pPr>
        <w:pBdr/>
        <w:spacing/>
        <w:ind w:hanging="360" w:left="3240"/>
      </w:pPr>
      <w:rPr>
        <w:rFonts w:ascii="Symbol" w:hAnsi="Symbol"/>
      </w:rPr>
      <w:start w:val="1"/>
      <w:suff w:val="tab"/>
    </w:lvl>
    <w:lvl w:ilvl="4">
      <w:isLgl w:val="false"/>
      <w:lvlJc w:val="left"/>
      <w:lvlText w:val="o"/>
      <w:numFmt w:val="bullet"/>
      <w:pPr>
        <w:pBdr/>
        <w:spacing/>
        <w:ind w:hanging="360" w:left="3960"/>
      </w:pPr>
      <w:rPr>
        <w:rFonts w:ascii="Courier New" w:hAnsi="Courier New" w:cs="Courier New"/>
      </w:rPr>
      <w:start w:val="1"/>
      <w:suff w:val="tab"/>
    </w:lvl>
    <w:lvl w:ilvl="5">
      <w:isLgl w:val="false"/>
      <w:lvlJc w:val="left"/>
      <w:lvlText w:val=""/>
      <w:numFmt w:val="bullet"/>
      <w:pPr>
        <w:pBdr/>
        <w:spacing/>
        <w:ind w:hanging="360" w:left="4680"/>
      </w:pPr>
      <w:rPr>
        <w:rFonts w:ascii="Wingdings" w:hAnsi="Wingdings"/>
      </w:rPr>
      <w:start w:val="1"/>
      <w:suff w:val="tab"/>
    </w:lvl>
    <w:lvl w:ilvl="6">
      <w:isLgl w:val="false"/>
      <w:lvlJc w:val="left"/>
      <w:lvlText w:val=""/>
      <w:numFmt w:val="bullet"/>
      <w:pPr>
        <w:pBdr/>
        <w:spacing/>
        <w:ind w:hanging="360" w:left="5400"/>
      </w:pPr>
      <w:rPr>
        <w:rFonts w:ascii="Symbol" w:hAnsi="Symbol"/>
      </w:rPr>
      <w:start w:val="1"/>
      <w:suff w:val="tab"/>
    </w:lvl>
    <w:lvl w:ilvl="7">
      <w:isLgl w:val="false"/>
      <w:lvlJc w:val="left"/>
      <w:lvlText w:val="o"/>
      <w:numFmt w:val="bullet"/>
      <w:pPr>
        <w:pBdr/>
        <w:spacing/>
        <w:ind w:hanging="360" w:left="6120"/>
      </w:pPr>
      <w:rPr>
        <w:rFonts w:ascii="Courier New" w:hAnsi="Courier New" w:cs="Courier New"/>
      </w:rPr>
      <w:start w:val="1"/>
      <w:suff w:val="tab"/>
    </w:lvl>
    <w:lvl w:ilvl="8">
      <w:isLgl w:val="false"/>
      <w:lvlJc w:val="left"/>
      <w:lvlText w:val=""/>
      <w:numFmt w:val="bullet"/>
      <w:pPr>
        <w:pBdr/>
        <w:spacing/>
        <w:ind w:hanging="360" w:left="6840"/>
      </w:pPr>
      <w:rPr>
        <w:rFonts w:ascii="Wingdings" w:hAnsi="Wingdings"/>
      </w:rPr>
      <w:start w:val="1"/>
      <w:suff w:val="tab"/>
    </w:lvl>
  </w:abstractNum>
  <w:abstractNum w:abstractNumId="4">
    <w:nsid w:val="0A797CB8"/>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5">
    <w:nsid w:val="0AD122A7"/>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6">
    <w:nsid w:val="0B0D2E25"/>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nsid w:val="0FF84C3D"/>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
    <w:nsid w:val="101817E7"/>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9">
    <w:nsid w:val="10345687"/>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10">
    <w:nsid w:val="10FB1C97"/>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
    <w:nsid w:val="132B1F7B"/>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4)"/>
      <w:numFmt w:val="decimal"/>
      <w:pPr>
        <w:pBdr/>
        <w:tabs>
          <w:tab w:val="num" w:leader="none" w:pos="1440"/>
        </w:tabs>
        <w:spacing/>
        <w:ind w:hanging="360" w:left="144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2">
    <w:nsid w:val="16475B73"/>
    <w:lvl w:ilvl="0">
      <w:isLgl w:val="false"/>
      <w:lvlJc w:val="left"/>
      <w:lvlText w:val="-"/>
      <w:numFmt w:val="bullet"/>
      <w:pPr>
        <w:pBdr/>
        <w:spacing/>
        <w:ind w:hanging="360" w:left="720"/>
      </w:pPr>
      <w:rPr>
        <w:rFonts w:ascii="Arial" w:hAnsi="Arial" w:eastAsia="Times New Roman" w:cs="Arial"/>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13">
    <w:nsid w:val="19643B0C"/>
    <w:lvl w:ilvl="0">
      <w:isLgl w:val="false"/>
      <w:lvlJc w:val="left"/>
      <w:lvlText w:val=""/>
      <w:numFmt w:val="bullet"/>
      <w:pPr>
        <w:pBdr/>
        <w:tabs>
          <w:tab w:val="num" w:leader="none" w:pos="720"/>
        </w:tabs>
        <w:spacing/>
        <w:ind w:hanging="360" w:left="720"/>
      </w:pPr>
      <w:rPr>
        <w:rFonts w:ascii="Symbol" w:hAnsi="Symbol"/>
      </w:rPr>
      <w:start w:val="1"/>
      <w:suff w:val="tab"/>
    </w:lvl>
    <w:lvl w:ilvl="1">
      <w:isLgl w:val="false"/>
      <w:lvlJc w:val="left"/>
      <w:lvlText w:val="o"/>
      <w:numFmt w:val="bullet"/>
      <w:pPr>
        <w:pBdr/>
        <w:tabs>
          <w:tab w:val="num" w:leader="none" w:pos="1440"/>
        </w:tabs>
        <w:spacing/>
        <w:ind w:hanging="360" w:left="1440"/>
      </w:pPr>
      <w:rPr>
        <w:rFonts w:ascii="Courier New" w:hAnsi="Courier New"/>
      </w:rPr>
      <w:start w:val="1"/>
      <w:suff w:val="tab"/>
    </w:lvl>
    <w:lvl w:ilvl="2">
      <w:isLgl w:val="false"/>
      <w:lvlJc w:val="left"/>
      <w:lvlText w:val=""/>
      <w:numFmt w:val="bullet"/>
      <w:pPr>
        <w:pBdr/>
        <w:tabs>
          <w:tab w:val="num" w:leader="none" w:pos="2160"/>
        </w:tabs>
        <w:spacing/>
        <w:ind w:hanging="360" w:left="2160"/>
      </w:pPr>
      <w:rPr>
        <w:rFonts w:ascii="Wingdings" w:hAnsi="Wingdings"/>
      </w:rPr>
      <w:start w:val="1"/>
      <w:suff w:val="tab"/>
    </w:lvl>
    <w:lvl w:ilvl="3">
      <w:isLgl w:val="false"/>
      <w:lvlJc w:val="left"/>
      <w:lvlText w:val=""/>
      <w:numFmt w:val="bullet"/>
      <w:pPr>
        <w:pBdr/>
        <w:tabs>
          <w:tab w:val="num" w:leader="none" w:pos="2880"/>
        </w:tabs>
        <w:spacing/>
        <w:ind w:hanging="360" w:left="2880"/>
      </w:pPr>
      <w:rPr>
        <w:rFonts w:ascii="Symbol" w:hAnsi="Symbol"/>
      </w:rPr>
      <w:start w:val="1"/>
      <w:suff w:val="tab"/>
    </w:lvl>
    <w:lvl w:ilvl="4">
      <w:isLgl w:val="false"/>
      <w:lvlJc w:val="left"/>
      <w:lvlText w:val="o"/>
      <w:numFmt w:val="bullet"/>
      <w:pPr>
        <w:pBdr/>
        <w:tabs>
          <w:tab w:val="num" w:leader="none" w:pos="3600"/>
        </w:tabs>
        <w:spacing/>
        <w:ind w:hanging="360" w:left="3600"/>
      </w:pPr>
      <w:rPr>
        <w:rFonts w:ascii="Courier New" w:hAnsi="Courier New"/>
      </w:rPr>
      <w:start w:val="1"/>
      <w:suff w:val="tab"/>
    </w:lvl>
    <w:lvl w:ilvl="5">
      <w:isLgl w:val="false"/>
      <w:lvlJc w:val="left"/>
      <w:lvlText w:val=""/>
      <w:numFmt w:val="bullet"/>
      <w:pPr>
        <w:pBdr/>
        <w:tabs>
          <w:tab w:val="num" w:leader="none" w:pos="4320"/>
        </w:tabs>
        <w:spacing/>
        <w:ind w:hanging="360" w:left="4320"/>
      </w:pPr>
      <w:rPr>
        <w:rFonts w:ascii="Wingdings" w:hAnsi="Wingdings"/>
      </w:rPr>
      <w:start w:val="1"/>
      <w:suff w:val="tab"/>
    </w:lvl>
    <w:lvl w:ilvl="6">
      <w:isLgl w:val="false"/>
      <w:lvlJc w:val="left"/>
      <w:lvlText w:val=""/>
      <w:numFmt w:val="bullet"/>
      <w:pPr>
        <w:pBdr/>
        <w:tabs>
          <w:tab w:val="num" w:leader="none" w:pos="5040"/>
        </w:tabs>
        <w:spacing/>
        <w:ind w:hanging="360" w:left="5040"/>
      </w:pPr>
      <w:rPr>
        <w:rFonts w:ascii="Symbol" w:hAnsi="Symbol"/>
      </w:rPr>
      <w:start w:val="1"/>
      <w:suff w:val="tab"/>
    </w:lvl>
    <w:lvl w:ilvl="7">
      <w:isLgl w:val="false"/>
      <w:lvlJc w:val="left"/>
      <w:lvlText w:val="o"/>
      <w:numFmt w:val="bullet"/>
      <w:pPr>
        <w:pBdr/>
        <w:tabs>
          <w:tab w:val="num" w:leader="none" w:pos="5760"/>
        </w:tabs>
        <w:spacing/>
        <w:ind w:hanging="360" w:left="5760"/>
      </w:pPr>
      <w:rPr>
        <w:rFonts w:ascii="Courier New" w:hAnsi="Courier New"/>
      </w:rPr>
      <w:start w:val="1"/>
      <w:suff w:val="tab"/>
    </w:lvl>
    <w:lvl w:ilvl="8">
      <w:isLgl w:val="false"/>
      <w:lvlJc w:val="left"/>
      <w:lvlText w:val=""/>
      <w:numFmt w:val="bullet"/>
      <w:pPr>
        <w:pBdr/>
        <w:tabs>
          <w:tab w:val="num" w:leader="none" w:pos="6480"/>
        </w:tabs>
        <w:spacing/>
        <w:ind w:hanging="360" w:left="6480"/>
      </w:pPr>
      <w:rPr>
        <w:rFonts w:ascii="Wingdings" w:hAnsi="Wingdings"/>
      </w:rPr>
      <w:start w:val="1"/>
      <w:suff w:val="tab"/>
    </w:lvl>
  </w:abstractNum>
  <w:abstractNum w:abstractNumId="14">
    <w:nsid w:val="1BC1716D"/>
    <w:lvl w:ilvl="0">
      <w:isLgl w:val="false"/>
      <w:lvlJc w:val="left"/>
      <w:lvlText w:val=""/>
      <w:numFmt w:val="bullet"/>
      <w:pPr>
        <w:pBdr/>
        <w:spacing/>
        <w:ind w:hanging="360" w:left="1080"/>
      </w:pPr>
      <w:rPr>
        <w:rFonts w:ascii="Symbol" w:hAnsi="Symbol"/>
      </w:rPr>
      <w:start w:val="1"/>
      <w:suff w:val="tab"/>
    </w:lvl>
    <w:lvl w:ilvl="1">
      <w:isLgl w:val="false"/>
      <w:lvlJc w:val="left"/>
      <w:lvlText w:val="o"/>
      <w:numFmt w:val="bullet"/>
      <w:pPr>
        <w:pBdr/>
        <w:spacing/>
        <w:ind w:hanging="360" w:left="1800"/>
      </w:pPr>
      <w:rPr>
        <w:rFonts w:ascii="Courier New" w:hAnsi="Courier New" w:cs="Courier New"/>
      </w:rPr>
      <w:start w:val="1"/>
      <w:suff w:val="tab"/>
    </w:lvl>
    <w:lvl w:ilvl="2">
      <w:isLgl w:val="false"/>
      <w:lvlJc w:val="left"/>
      <w:lvlText w:val=""/>
      <w:numFmt w:val="bullet"/>
      <w:pPr>
        <w:pBdr/>
        <w:spacing/>
        <w:ind w:hanging="360" w:left="2520"/>
      </w:pPr>
      <w:rPr>
        <w:rFonts w:ascii="Wingdings" w:hAnsi="Wingdings"/>
      </w:rPr>
      <w:start w:val="1"/>
      <w:suff w:val="tab"/>
    </w:lvl>
    <w:lvl w:ilvl="3">
      <w:isLgl w:val="false"/>
      <w:lvlJc w:val="left"/>
      <w:lvlText w:val=""/>
      <w:numFmt w:val="bullet"/>
      <w:pPr>
        <w:pBdr/>
        <w:spacing/>
        <w:ind w:hanging="360" w:left="3240"/>
      </w:pPr>
      <w:rPr>
        <w:rFonts w:ascii="Symbol" w:hAnsi="Symbol"/>
      </w:rPr>
      <w:start w:val="1"/>
      <w:suff w:val="tab"/>
    </w:lvl>
    <w:lvl w:ilvl="4">
      <w:isLgl w:val="false"/>
      <w:lvlJc w:val="left"/>
      <w:lvlText w:val="o"/>
      <w:numFmt w:val="bullet"/>
      <w:pPr>
        <w:pBdr/>
        <w:spacing/>
        <w:ind w:hanging="360" w:left="3960"/>
      </w:pPr>
      <w:rPr>
        <w:rFonts w:ascii="Courier New" w:hAnsi="Courier New" w:cs="Courier New"/>
      </w:rPr>
      <w:start w:val="1"/>
      <w:suff w:val="tab"/>
    </w:lvl>
    <w:lvl w:ilvl="5">
      <w:isLgl w:val="false"/>
      <w:lvlJc w:val="left"/>
      <w:lvlText w:val=""/>
      <w:numFmt w:val="bullet"/>
      <w:pPr>
        <w:pBdr/>
        <w:spacing/>
        <w:ind w:hanging="360" w:left="4680"/>
      </w:pPr>
      <w:rPr>
        <w:rFonts w:ascii="Wingdings" w:hAnsi="Wingdings"/>
      </w:rPr>
      <w:start w:val="1"/>
      <w:suff w:val="tab"/>
    </w:lvl>
    <w:lvl w:ilvl="6">
      <w:isLgl w:val="false"/>
      <w:lvlJc w:val="left"/>
      <w:lvlText w:val=""/>
      <w:numFmt w:val="bullet"/>
      <w:pPr>
        <w:pBdr/>
        <w:spacing/>
        <w:ind w:hanging="360" w:left="5400"/>
      </w:pPr>
      <w:rPr>
        <w:rFonts w:ascii="Symbol" w:hAnsi="Symbol"/>
      </w:rPr>
      <w:start w:val="1"/>
      <w:suff w:val="tab"/>
    </w:lvl>
    <w:lvl w:ilvl="7">
      <w:isLgl w:val="false"/>
      <w:lvlJc w:val="left"/>
      <w:lvlText w:val="o"/>
      <w:numFmt w:val="bullet"/>
      <w:pPr>
        <w:pBdr/>
        <w:spacing/>
        <w:ind w:hanging="360" w:left="6120"/>
      </w:pPr>
      <w:rPr>
        <w:rFonts w:ascii="Courier New" w:hAnsi="Courier New" w:cs="Courier New"/>
      </w:rPr>
      <w:start w:val="1"/>
      <w:suff w:val="tab"/>
    </w:lvl>
    <w:lvl w:ilvl="8">
      <w:isLgl w:val="false"/>
      <w:lvlJc w:val="left"/>
      <w:lvlText w:val=""/>
      <w:numFmt w:val="bullet"/>
      <w:pPr>
        <w:pBdr/>
        <w:spacing/>
        <w:ind w:hanging="360" w:left="6840"/>
      </w:pPr>
      <w:rPr>
        <w:rFonts w:ascii="Wingdings" w:hAnsi="Wingdings"/>
      </w:rPr>
      <w:start w:val="1"/>
      <w:suff w:val="tab"/>
    </w:lvl>
  </w:abstractNum>
  <w:abstractNum w:abstractNumId="15">
    <w:nsid w:val="1C0B7C60"/>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6">
    <w:nsid w:val="1C1D452A"/>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17">
    <w:nsid w:val="1DA44F2C"/>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8">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19">
    <w:nsid w:val="1ED33ACD"/>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0">
    <w:nsid w:val="1F693A9B"/>
    <w:lvl w:ilvl="0">
      <w:isLgl w:val="false"/>
      <w:lvlJc w:val="left"/>
      <w:lvlText w:val=""/>
      <w:numFmt w:val="bullet"/>
      <w:pPr>
        <w:pBdr/>
        <w:tabs>
          <w:tab w:val="num" w:leader="none" w:pos="720"/>
        </w:tabs>
        <w:spacing/>
        <w:ind w:hanging="360" w:left="720"/>
      </w:pPr>
      <w:rPr>
        <w:rFonts w:ascii="Symbol" w:hAnsi="Symbol"/>
        <w:sz w:val="20"/>
      </w:rPr>
      <w:start w:val="1"/>
      <w:suff w:val="tab"/>
    </w:lvl>
    <w:lvl w:ilvl="1">
      <w:isLgl w:val="false"/>
      <w:lvlJc w:val="left"/>
      <w:lvlText w:val=""/>
      <w:numFmt w:val="bullet"/>
      <w:pPr>
        <w:pBdr/>
        <w:tabs>
          <w:tab w:val="num" w:leader="none" w:pos="1440"/>
        </w:tabs>
        <w:spacing/>
        <w:ind w:hanging="360" w:left="1440"/>
      </w:pPr>
      <w:rPr>
        <w:rFonts w:ascii="Symbol" w:hAnsi="Symbol"/>
        <w:sz w:val="20"/>
      </w:rPr>
      <w:start w:val="1"/>
      <w:suff w:val="tab"/>
    </w:lvl>
    <w:lvl w:ilvl="2">
      <w:isLgl w:val="false"/>
      <w:lvlJc w:val="left"/>
      <w:lvlText w:val=""/>
      <w:numFmt w:val="bullet"/>
      <w:pPr>
        <w:pBdr/>
        <w:tabs>
          <w:tab w:val="num" w:leader="none" w:pos="2160"/>
        </w:tabs>
        <w:spacing/>
        <w:ind w:hanging="360" w:left="2160"/>
      </w:pPr>
      <w:rPr>
        <w:rFonts w:ascii="Symbol" w:hAnsi="Symbol"/>
        <w:sz w:val="20"/>
      </w:rPr>
      <w:start w:val="1"/>
      <w:suff w:val="tab"/>
    </w:lvl>
    <w:lvl w:ilvl="3">
      <w:isLgl w:val="false"/>
      <w:lvlJc w:val="left"/>
      <w:lvlText w:val=""/>
      <w:numFmt w:val="bullet"/>
      <w:pPr>
        <w:pBdr/>
        <w:tabs>
          <w:tab w:val="num" w:leader="none" w:pos="2880"/>
        </w:tabs>
        <w:spacing/>
        <w:ind w:hanging="360" w:left="2880"/>
      </w:pPr>
      <w:rPr>
        <w:rFonts w:ascii="Symbol" w:hAnsi="Symbol"/>
        <w:sz w:val="20"/>
      </w:rPr>
      <w:start w:val="1"/>
      <w:suff w:val="tab"/>
    </w:lvl>
    <w:lvl w:ilvl="4">
      <w:isLgl w:val="false"/>
      <w:lvlJc w:val="left"/>
      <w:lvlText w:val=""/>
      <w:numFmt w:val="bullet"/>
      <w:pPr>
        <w:pBdr/>
        <w:tabs>
          <w:tab w:val="num" w:leader="none" w:pos="3600"/>
        </w:tabs>
        <w:spacing/>
        <w:ind w:hanging="360" w:left="3600"/>
      </w:pPr>
      <w:rPr>
        <w:rFonts w:ascii="Symbol" w:hAnsi="Symbol"/>
        <w:sz w:val="20"/>
      </w:rPr>
      <w:start w:val="1"/>
      <w:suff w:val="tab"/>
    </w:lvl>
    <w:lvl w:ilvl="5">
      <w:isLgl w:val="false"/>
      <w:lvlJc w:val="left"/>
      <w:lvlText w:val=""/>
      <w:numFmt w:val="bullet"/>
      <w:pPr>
        <w:pBdr/>
        <w:tabs>
          <w:tab w:val="num" w:leader="none" w:pos="4320"/>
        </w:tabs>
        <w:spacing/>
        <w:ind w:hanging="360" w:left="4320"/>
      </w:pPr>
      <w:rPr>
        <w:rFonts w:ascii="Symbol" w:hAnsi="Symbol"/>
        <w:sz w:val="20"/>
      </w:rPr>
      <w:start w:val="1"/>
      <w:suff w:val="tab"/>
    </w:lvl>
    <w:lvl w:ilvl="6">
      <w:isLgl w:val="false"/>
      <w:lvlJc w:val="left"/>
      <w:lvlText w:val=""/>
      <w:numFmt w:val="bullet"/>
      <w:pPr>
        <w:pBdr/>
        <w:tabs>
          <w:tab w:val="num" w:leader="none" w:pos="5040"/>
        </w:tabs>
        <w:spacing/>
        <w:ind w:hanging="360" w:left="5040"/>
      </w:pPr>
      <w:rPr>
        <w:rFonts w:ascii="Symbol" w:hAnsi="Symbol"/>
        <w:sz w:val="20"/>
      </w:rPr>
      <w:start w:val="1"/>
      <w:suff w:val="tab"/>
    </w:lvl>
    <w:lvl w:ilvl="7">
      <w:isLgl w:val="false"/>
      <w:lvlJc w:val="left"/>
      <w:lvlText w:val=""/>
      <w:numFmt w:val="bullet"/>
      <w:pPr>
        <w:pBdr/>
        <w:tabs>
          <w:tab w:val="num" w:leader="none" w:pos="5760"/>
        </w:tabs>
        <w:spacing/>
        <w:ind w:hanging="360" w:left="5760"/>
      </w:pPr>
      <w:rPr>
        <w:rFonts w:ascii="Symbol" w:hAnsi="Symbol"/>
        <w:sz w:val="20"/>
      </w:rPr>
      <w:start w:val="1"/>
      <w:suff w:val="tab"/>
    </w:lvl>
    <w:lvl w:ilvl="8">
      <w:isLgl w:val="false"/>
      <w:lvlJc w:val="left"/>
      <w:lvlText w:val=""/>
      <w:numFmt w:val="bullet"/>
      <w:pPr>
        <w:pBdr/>
        <w:tabs>
          <w:tab w:val="num" w:leader="none" w:pos="6480"/>
        </w:tabs>
        <w:spacing/>
        <w:ind w:hanging="360" w:left="6480"/>
      </w:pPr>
      <w:rPr>
        <w:rFonts w:ascii="Symbol" w:hAnsi="Symbol"/>
        <w:sz w:val="20"/>
      </w:rPr>
      <w:start w:val="1"/>
      <w:suff w:val="tab"/>
    </w:lvl>
  </w:abstractNum>
  <w:abstractNum w:abstractNumId="21">
    <w:nsid w:val="2C3E06F0"/>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22">
    <w:nsid w:val="2DFF5598"/>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23">
    <w:nsid w:val="30142A8A"/>
    <w:lvl w:ilvl="0">
      <w:isLgl w:val="false"/>
      <w:lvlJc w:val="left"/>
      <w:lvlText w:val=""/>
      <w:numFmt w:val="bullet"/>
      <w:pPr>
        <w:pBdr/>
        <w:spacing/>
        <w:ind w:hanging="360" w:left="72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4">
    <w:nsid w:val="30323C7D"/>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5">
    <w:nsid w:val="38D161E1"/>
    <w:lvl w:ilvl="0">
      <w:isLgl w:val="false"/>
      <w:lvlJc w:val="left"/>
      <w:lvlText w:val="-"/>
      <w:numFmt w:val="bullet"/>
      <w:pPr>
        <w:pBdr/>
        <w:spacing/>
        <w:ind w:hanging="360" w:left="720"/>
      </w:pPr>
      <w:rPr>
        <w:rFonts w:ascii="Arial" w:hAnsi="Arial" w:eastAsia="Times New Roman" w:cs="Arial"/>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26">
    <w:nsid w:val="393A1E5D"/>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27">
    <w:nsid w:val="46C3657D"/>
    <w:lvl w:ilvl="0">
      <w:isLgl w:val="false"/>
      <w:lvlJc w:val="left"/>
      <w:lvlText w:val=""/>
      <w:numFmt w:val="bullet"/>
      <w:pPr>
        <w:pBdr/>
        <w:tabs>
          <w:tab w:val="num" w:leader="none" w:pos="1080"/>
        </w:tabs>
        <w:spacing/>
        <w:ind w:hanging="360" w:left="1080"/>
      </w:pPr>
      <w:rPr>
        <w:rFonts w:ascii="Wingdings" w:hAnsi="Wingdings"/>
      </w:rPr>
      <w:start w:val="1"/>
      <w:suff w:val="tab"/>
    </w:lvl>
    <w:lvl w:ilvl="1">
      <w:isLgl w:val="false"/>
      <w:lvlJc w:val="left"/>
      <w:lvlText w:val="o"/>
      <w:numFmt w:val="bullet"/>
      <w:pPr>
        <w:pBdr/>
        <w:tabs>
          <w:tab w:val="num" w:leader="none" w:pos="1800"/>
        </w:tabs>
        <w:spacing/>
        <w:ind w:hanging="360" w:left="1800"/>
      </w:pPr>
      <w:rPr>
        <w:rFonts w:ascii="Courier New" w:hAnsi="Courier New" w:cs="SuperFrench"/>
      </w:rPr>
      <w:start w:val="1"/>
      <w:suff w:val="tab"/>
    </w:lvl>
    <w:lvl w:ilvl="2">
      <w:isLgl w:val="false"/>
      <w:lvlJc w:val="left"/>
      <w:lvlText w:val=""/>
      <w:numFmt w:val="bullet"/>
      <w:pPr>
        <w:pBdr/>
        <w:tabs>
          <w:tab w:val="num" w:leader="none" w:pos="2520"/>
        </w:tabs>
        <w:spacing/>
        <w:ind w:hanging="360" w:left="2520"/>
      </w:pPr>
      <w:rPr>
        <w:rFonts w:ascii="Wingdings" w:hAnsi="Wingdings"/>
      </w:rPr>
      <w:start w:val="1"/>
      <w:suff w:val="tab"/>
    </w:lvl>
    <w:lvl w:ilvl="3">
      <w:isLgl w:val="false"/>
      <w:lvlJc w:val="left"/>
      <w:lvlText w:val=""/>
      <w:numFmt w:val="bullet"/>
      <w:pPr>
        <w:pBdr/>
        <w:tabs>
          <w:tab w:val="num" w:leader="none" w:pos="3240"/>
        </w:tabs>
        <w:spacing/>
        <w:ind w:hanging="360" w:left="3240"/>
      </w:pPr>
      <w:rPr>
        <w:rFonts w:ascii="Symbol" w:hAnsi="Symbol"/>
      </w:rPr>
      <w:start w:val="1"/>
      <w:suff w:val="tab"/>
    </w:lvl>
    <w:lvl w:ilvl="4">
      <w:isLgl w:val="false"/>
      <w:lvlJc w:val="left"/>
      <w:lvlText w:val="o"/>
      <w:numFmt w:val="bullet"/>
      <w:pPr>
        <w:pBdr/>
        <w:tabs>
          <w:tab w:val="num" w:leader="none" w:pos="3960"/>
        </w:tabs>
        <w:spacing/>
        <w:ind w:hanging="360" w:left="3960"/>
      </w:pPr>
      <w:rPr>
        <w:rFonts w:ascii="Courier New" w:hAnsi="Courier New" w:cs="SuperFrench"/>
      </w:rPr>
      <w:start w:val="1"/>
      <w:suff w:val="tab"/>
    </w:lvl>
    <w:lvl w:ilvl="5">
      <w:isLgl w:val="false"/>
      <w:lvlJc w:val="left"/>
      <w:lvlText w:val=""/>
      <w:numFmt w:val="bullet"/>
      <w:pPr>
        <w:pBdr/>
        <w:tabs>
          <w:tab w:val="num" w:leader="none" w:pos="4680"/>
        </w:tabs>
        <w:spacing/>
        <w:ind w:hanging="360" w:left="4680"/>
      </w:pPr>
      <w:rPr>
        <w:rFonts w:ascii="Wingdings" w:hAnsi="Wingdings"/>
      </w:rPr>
      <w:start w:val="1"/>
      <w:suff w:val="tab"/>
    </w:lvl>
    <w:lvl w:ilvl="6">
      <w:isLgl w:val="false"/>
      <w:lvlJc w:val="left"/>
      <w:lvlText w:val=""/>
      <w:numFmt w:val="bullet"/>
      <w:pPr>
        <w:pBdr/>
        <w:tabs>
          <w:tab w:val="num" w:leader="none" w:pos="5400"/>
        </w:tabs>
        <w:spacing/>
        <w:ind w:hanging="360" w:left="5400"/>
      </w:pPr>
      <w:rPr>
        <w:rFonts w:ascii="Symbol" w:hAnsi="Symbol"/>
      </w:rPr>
      <w:start w:val="1"/>
      <w:suff w:val="tab"/>
    </w:lvl>
    <w:lvl w:ilvl="7">
      <w:isLgl w:val="false"/>
      <w:lvlJc w:val="left"/>
      <w:lvlText w:val="o"/>
      <w:numFmt w:val="bullet"/>
      <w:pPr>
        <w:pBdr/>
        <w:tabs>
          <w:tab w:val="num" w:leader="none" w:pos="6120"/>
        </w:tabs>
        <w:spacing/>
        <w:ind w:hanging="360" w:left="6120"/>
      </w:pPr>
      <w:rPr>
        <w:rFonts w:ascii="Courier New" w:hAnsi="Courier New" w:cs="SuperFrench"/>
      </w:rPr>
      <w:start w:val="1"/>
      <w:suff w:val="tab"/>
    </w:lvl>
    <w:lvl w:ilvl="8">
      <w:isLgl w:val="false"/>
      <w:lvlJc w:val="left"/>
      <w:lvlText w:val=""/>
      <w:numFmt w:val="bullet"/>
      <w:pPr>
        <w:pBdr/>
        <w:tabs>
          <w:tab w:val="num" w:leader="none" w:pos="6840"/>
        </w:tabs>
        <w:spacing/>
        <w:ind w:hanging="360" w:left="6840"/>
      </w:pPr>
      <w:rPr>
        <w:rFonts w:ascii="Wingdings" w:hAnsi="Wingdings"/>
      </w:rPr>
      <w:start w:val="1"/>
      <w:suff w:val="tab"/>
    </w:lvl>
  </w:abstractNum>
  <w:abstractNum w:abstractNumId="28">
    <w:nsid w:val="47204D3E"/>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9">
    <w:nsid w:val="49D65ED4"/>
    <w:lvl w:ilvl="0">
      <w:isLgl w:val="false"/>
      <w:lvlJc w:val="left"/>
      <w:lvlText w:val="-"/>
      <w:numFmt w:val="bullet"/>
      <w:pPr>
        <w:pBdr/>
        <w:spacing/>
        <w:ind w:hanging="360" w:left="720"/>
      </w:pPr>
      <w:rPr>
        <w:rFonts w:ascii="Arial" w:hAnsi="Arial" w:eastAsia="Times New Roman" w:cs="Arial"/>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0">
    <w:nsid w:val="4C9A73DD"/>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1">
    <w:nsid w:val="55072918"/>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2">
    <w:nsid w:val="60A5756A"/>
    <w:lvl w:ilvl="0">
      <w:isLgl w:val="false"/>
      <w:lvlJc w:val="left"/>
      <w:lvlText w:val=""/>
      <w:numFmt w:val="bullet"/>
      <w:pPr>
        <w:pBdr/>
        <w:tabs>
          <w:tab w:val="num" w:leader="none" w:pos="1080"/>
        </w:tabs>
        <w:spacing/>
        <w:ind w:hanging="360" w:left="1080"/>
      </w:pPr>
      <w:rPr>
        <w:rFonts w:ascii="Wingdings" w:hAnsi="Wingdings"/>
      </w:rPr>
      <w:start w:val="1"/>
      <w:suff w:val="tab"/>
    </w:lvl>
    <w:lvl w:ilvl="1">
      <w:isLgl w:val="false"/>
      <w:lvlJc w:val="left"/>
      <w:lvlText w:val="o"/>
      <w:numFmt w:val="bullet"/>
      <w:pPr>
        <w:pBdr/>
        <w:tabs>
          <w:tab w:val="num" w:leader="none" w:pos="1800"/>
        </w:tabs>
        <w:spacing/>
        <w:ind w:hanging="360" w:left="1800"/>
      </w:pPr>
      <w:rPr>
        <w:rFonts w:ascii="Courier New" w:hAnsi="Courier New" w:cs="SuperFrench"/>
      </w:rPr>
      <w:start w:val="1"/>
      <w:suff w:val="tab"/>
    </w:lvl>
    <w:lvl w:ilvl="2">
      <w:isLgl w:val="false"/>
      <w:lvlJc w:val="left"/>
      <w:lvlText w:val=""/>
      <w:numFmt w:val="bullet"/>
      <w:pPr>
        <w:pBdr/>
        <w:tabs>
          <w:tab w:val="num" w:leader="none" w:pos="2520"/>
        </w:tabs>
        <w:spacing/>
        <w:ind w:hanging="360" w:left="2520"/>
      </w:pPr>
      <w:rPr>
        <w:rFonts w:ascii="Wingdings" w:hAnsi="Wingdings"/>
      </w:rPr>
      <w:start w:val="1"/>
      <w:suff w:val="tab"/>
    </w:lvl>
    <w:lvl w:ilvl="3">
      <w:isLgl w:val="false"/>
      <w:lvlJc w:val="left"/>
      <w:lvlText w:val=""/>
      <w:numFmt w:val="bullet"/>
      <w:pPr>
        <w:pBdr/>
        <w:tabs>
          <w:tab w:val="num" w:leader="none" w:pos="3240"/>
        </w:tabs>
        <w:spacing/>
        <w:ind w:hanging="360" w:left="3240"/>
      </w:pPr>
      <w:rPr>
        <w:rFonts w:ascii="Symbol" w:hAnsi="Symbol"/>
      </w:rPr>
      <w:start w:val="1"/>
      <w:suff w:val="tab"/>
    </w:lvl>
    <w:lvl w:ilvl="4">
      <w:isLgl w:val="false"/>
      <w:lvlJc w:val="left"/>
      <w:lvlText w:val="o"/>
      <w:numFmt w:val="bullet"/>
      <w:pPr>
        <w:pBdr/>
        <w:tabs>
          <w:tab w:val="num" w:leader="none" w:pos="3960"/>
        </w:tabs>
        <w:spacing/>
        <w:ind w:hanging="360" w:left="3960"/>
      </w:pPr>
      <w:rPr>
        <w:rFonts w:ascii="Courier New" w:hAnsi="Courier New" w:cs="SuperFrench"/>
      </w:rPr>
      <w:start w:val="1"/>
      <w:suff w:val="tab"/>
    </w:lvl>
    <w:lvl w:ilvl="5">
      <w:isLgl w:val="false"/>
      <w:lvlJc w:val="left"/>
      <w:lvlText w:val=""/>
      <w:numFmt w:val="bullet"/>
      <w:pPr>
        <w:pBdr/>
        <w:tabs>
          <w:tab w:val="num" w:leader="none" w:pos="4680"/>
        </w:tabs>
        <w:spacing/>
        <w:ind w:hanging="360" w:left="4680"/>
      </w:pPr>
      <w:rPr>
        <w:rFonts w:ascii="Wingdings" w:hAnsi="Wingdings"/>
      </w:rPr>
      <w:start w:val="1"/>
      <w:suff w:val="tab"/>
    </w:lvl>
    <w:lvl w:ilvl="6">
      <w:isLgl w:val="false"/>
      <w:lvlJc w:val="left"/>
      <w:lvlText w:val=""/>
      <w:numFmt w:val="bullet"/>
      <w:pPr>
        <w:pBdr/>
        <w:tabs>
          <w:tab w:val="num" w:leader="none" w:pos="5400"/>
        </w:tabs>
        <w:spacing/>
        <w:ind w:hanging="360" w:left="5400"/>
      </w:pPr>
      <w:rPr>
        <w:rFonts w:ascii="Symbol" w:hAnsi="Symbol"/>
      </w:rPr>
      <w:start w:val="1"/>
      <w:suff w:val="tab"/>
    </w:lvl>
    <w:lvl w:ilvl="7">
      <w:isLgl w:val="false"/>
      <w:lvlJc w:val="left"/>
      <w:lvlText w:val="o"/>
      <w:numFmt w:val="bullet"/>
      <w:pPr>
        <w:pBdr/>
        <w:tabs>
          <w:tab w:val="num" w:leader="none" w:pos="6120"/>
        </w:tabs>
        <w:spacing/>
        <w:ind w:hanging="360" w:left="6120"/>
      </w:pPr>
      <w:rPr>
        <w:rFonts w:ascii="Courier New" w:hAnsi="Courier New" w:cs="SuperFrench"/>
      </w:rPr>
      <w:start w:val="1"/>
      <w:suff w:val="tab"/>
    </w:lvl>
    <w:lvl w:ilvl="8">
      <w:isLgl w:val="false"/>
      <w:lvlJc w:val="left"/>
      <w:lvlText w:val=""/>
      <w:numFmt w:val="bullet"/>
      <w:pPr>
        <w:pBdr/>
        <w:tabs>
          <w:tab w:val="num" w:leader="none" w:pos="6840"/>
        </w:tabs>
        <w:spacing/>
        <w:ind w:hanging="360" w:left="6840"/>
      </w:pPr>
      <w:rPr>
        <w:rFonts w:ascii="Wingdings" w:hAnsi="Wingdings"/>
      </w:rPr>
      <w:start w:val="1"/>
      <w:suff w:val="tab"/>
    </w:lvl>
  </w:abstractNum>
  <w:abstractNum w:abstractNumId="33">
    <w:nsid w:val="63934724"/>
    <w:lvl w:ilvl="0">
      <w:isLgl w:val="false"/>
      <w:lvlJc w:val="left"/>
      <w:lvlText w:val=""/>
      <w:numFmt w:val="bullet"/>
      <w:pPr>
        <w:pBdr/>
        <w:tabs>
          <w:tab w:val="num" w:leader="none" w:pos="1080"/>
        </w:tabs>
        <w:spacing/>
        <w:ind w:hanging="360" w:left="1080"/>
      </w:pPr>
      <w:rPr>
        <w:rFonts w:ascii="Wingdings" w:hAnsi="Wingdings"/>
      </w:rPr>
      <w:start w:val="1"/>
      <w:suff w:val="tab"/>
    </w:lvl>
    <w:lvl w:ilvl="1">
      <w:isLgl w:val="false"/>
      <w:lvlJc w:val="left"/>
      <w:lvlText w:val="o"/>
      <w:numFmt w:val="bullet"/>
      <w:pPr>
        <w:pBdr/>
        <w:tabs>
          <w:tab w:val="num" w:leader="none" w:pos="1800"/>
        </w:tabs>
        <w:spacing/>
        <w:ind w:hanging="360" w:left="1800"/>
      </w:pPr>
      <w:rPr>
        <w:rFonts w:ascii="Courier New" w:hAnsi="Courier New" w:cs="SuperFrench"/>
      </w:rPr>
      <w:start w:val="1"/>
      <w:suff w:val="tab"/>
    </w:lvl>
    <w:lvl w:ilvl="2">
      <w:isLgl w:val="false"/>
      <w:lvlJc w:val="left"/>
      <w:lvlText w:val=""/>
      <w:numFmt w:val="bullet"/>
      <w:pPr>
        <w:pBdr/>
        <w:tabs>
          <w:tab w:val="num" w:leader="none" w:pos="2520"/>
        </w:tabs>
        <w:spacing/>
        <w:ind w:hanging="360" w:left="2520"/>
      </w:pPr>
      <w:rPr>
        <w:rFonts w:ascii="Wingdings" w:hAnsi="Wingdings"/>
      </w:rPr>
      <w:start w:val="1"/>
      <w:suff w:val="tab"/>
    </w:lvl>
    <w:lvl w:ilvl="3">
      <w:isLgl w:val="false"/>
      <w:lvlJc w:val="left"/>
      <w:lvlText w:val=""/>
      <w:numFmt w:val="bullet"/>
      <w:pPr>
        <w:pBdr/>
        <w:tabs>
          <w:tab w:val="num" w:leader="none" w:pos="3240"/>
        </w:tabs>
        <w:spacing/>
        <w:ind w:hanging="360" w:left="3240"/>
      </w:pPr>
      <w:rPr>
        <w:rFonts w:ascii="Symbol" w:hAnsi="Symbol"/>
      </w:rPr>
      <w:start w:val="1"/>
      <w:suff w:val="tab"/>
    </w:lvl>
    <w:lvl w:ilvl="4">
      <w:isLgl w:val="false"/>
      <w:lvlJc w:val="left"/>
      <w:lvlText w:val="o"/>
      <w:numFmt w:val="bullet"/>
      <w:pPr>
        <w:pBdr/>
        <w:tabs>
          <w:tab w:val="num" w:leader="none" w:pos="3960"/>
        </w:tabs>
        <w:spacing/>
        <w:ind w:hanging="360" w:left="3960"/>
      </w:pPr>
      <w:rPr>
        <w:rFonts w:ascii="Courier New" w:hAnsi="Courier New" w:cs="SuperFrench"/>
      </w:rPr>
      <w:start w:val="1"/>
      <w:suff w:val="tab"/>
    </w:lvl>
    <w:lvl w:ilvl="5">
      <w:isLgl w:val="false"/>
      <w:lvlJc w:val="left"/>
      <w:lvlText w:val=""/>
      <w:numFmt w:val="bullet"/>
      <w:pPr>
        <w:pBdr/>
        <w:tabs>
          <w:tab w:val="num" w:leader="none" w:pos="4680"/>
        </w:tabs>
        <w:spacing/>
        <w:ind w:hanging="360" w:left="4680"/>
      </w:pPr>
      <w:rPr>
        <w:rFonts w:ascii="Wingdings" w:hAnsi="Wingdings"/>
      </w:rPr>
      <w:start w:val="1"/>
      <w:suff w:val="tab"/>
    </w:lvl>
    <w:lvl w:ilvl="6">
      <w:isLgl w:val="false"/>
      <w:lvlJc w:val="left"/>
      <w:lvlText w:val=""/>
      <w:numFmt w:val="bullet"/>
      <w:pPr>
        <w:pBdr/>
        <w:tabs>
          <w:tab w:val="num" w:leader="none" w:pos="5400"/>
        </w:tabs>
        <w:spacing/>
        <w:ind w:hanging="360" w:left="5400"/>
      </w:pPr>
      <w:rPr>
        <w:rFonts w:ascii="Symbol" w:hAnsi="Symbol"/>
      </w:rPr>
      <w:start w:val="1"/>
      <w:suff w:val="tab"/>
    </w:lvl>
    <w:lvl w:ilvl="7">
      <w:isLgl w:val="false"/>
      <w:lvlJc w:val="left"/>
      <w:lvlText w:val="o"/>
      <w:numFmt w:val="bullet"/>
      <w:pPr>
        <w:pBdr/>
        <w:tabs>
          <w:tab w:val="num" w:leader="none" w:pos="6120"/>
        </w:tabs>
        <w:spacing/>
        <w:ind w:hanging="360" w:left="6120"/>
      </w:pPr>
      <w:rPr>
        <w:rFonts w:ascii="Courier New" w:hAnsi="Courier New" w:cs="SuperFrench"/>
      </w:rPr>
      <w:start w:val="1"/>
      <w:suff w:val="tab"/>
    </w:lvl>
    <w:lvl w:ilvl="8">
      <w:isLgl w:val="false"/>
      <w:lvlJc w:val="left"/>
      <w:lvlText w:val=""/>
      <w:numFmt w:val="bullet"/>
      <w:pPr>
        <w:pBdr/>
        <w:tabs>
          <w:tab w:val="num" w:leader="none" w:pos="6840"/>
        </w:tabs>
        <w:spacing/>
        <w:ind w:hanging="360" w:left="6840"/>
      </w:pPr>
      <w:rPr>
        <w:rFonts w:ascii="Wingdings" w:hAnsi="Wingdings"/>
      </w:rPr>
      <w:start w:val="1"/>
      <w:suff w:val="tab"/>
    </w:lvl>
  </w:abstractNum>
  <w:abstractNum w:abstractNumId="34">
    <w:nsid w:val="65CD4200"/>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5">
    <w:nsid w:val="6A882386"/>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6">
    <w:nsid w:val="6D31522F"/>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7">
    <w:nsid w:val="6E046B32"/>
    <w:lvl w:ilvl="0">
      <w:isLgl w:val="false"/>
      <w:lvlJc w:val="left"/>
      <w:lvlText w:val="-"/>
      <w:numFmt w:val="bullet"/>
      <w:pPr>
        <w:pBdr/>
        <w:spacing/>
        <w:ind w:hanging="360" w:left="720"/>
      </w:pPr>
      <w:rPr>
        <w:rFonts w:ascii="Arial" w:hAnsi="Arial" w:eastAsia="Times New Roman" w:cs="Arial"/>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8">
    <w:nsid w:val="6E0630F9"/>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39">
    <w:nsid w:val="713E2A3A"/>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40">
    <w:nsid w:val="73D90B30"/>
    <w:lvl w:ilvl="0">
      <w:isLgl w:val="false"/>
      <w:lvlJc w:val="left"/>
      <w:lvlText w:val=""/>
      <w:numFmt w:val="bullet"/>
      <w:pPr>
        <w:pBdr/>
        <w:tabs>
          <w:tab w:val="num" w:leader="none" w:pos="720"/>
        </w:tabs>
        <w:spacing/>
        <w:ind w:hanging="360" w:left="720"/>
      </w:pPr>
      <w:rPr>
        <w:rFonts w:ascii="Symbol" w:hAnsi="Symbol"/>
      </w:rPr>
      <w:start w:val="1"/>
      <w:suff w:val="tab"/>
    </w:lvl>
    <w:lvl w:ilvl="1">
      <w:isLgl w:val="false"/>
      <w:lvlJc w:val="left"/>
      <w:lvlText w:val="o"/>
      <w:numFmt w:val="bullet"/>
      <w:pPr>
        <w:pBdr/>
        <w:tabs>
          <w:tab w:val="num" w:leader="none" w:pos="1440"/>
        </w:tabs>
        <w:spacing/>
        <w:ind w:hanging="360" w:left="1440"/>
      </w:pPr>
      <w:rPr>
        <w:rFonts w:ascii="Courier New" w:hAnsi="Courier New"/>
      </w:rPr>
      <w:start w:val="1"/>
      <w:suff w:val="tab"/>
    </w:lvl>
    <w:lvl w:ilvl="2">
      <w:isLgl w:val="false"/>
      <w:lvlJc w:val="left"/>
      <w:lvlText w:val=""/>
      <w:numFmt w:val="bullet"/>
      <w:pPr>
        <w:pBdr/>
        <w:tabs>
          <w:tab w:val="num" w:leader="none" w:pos="2160"/>
        </w:tabs>
        <w:spacing/>
        <w:ind w:hanging="360" w:left="2160"/>
      </w:pPr>
      <w:rPr>
        <w:rFonts w:ascii="Wingdings" w:hAnsi="Wingdings"/>
      </w:rPr>
      <w:start w:val="1"/>
      <w:suff w:val="tab"/>
    </w:lvl>
    <w:lvl w:ilvl="3">
      <w:isLgl w:val="false"/>
      <w:lvlJc w:val="left"/>
      <w:lvlText w:val=""/>
      <w:numFmt w:val="bullet"/>
      <w:pPr>
        <w:pBdr/>
        <w:tabs>
          <w:tab w:val="num" w:leader="none" w:pos="2880"/>
        </w:tabs>
        <w:spacing/>
        <w:ind w:hanging="360" w:left="2880"/>
      </w:pPr>
      <w:rPr>
        <w:rFonts w:ascii="Symbol" w:hAnsi="Symbol"/>
      </w:rPr>
      <w:start w:val="1"/>
      <w:suff w:val="tab"/>
    </w:lvl>
    <w:lvl w:ilvl="4">
      <w:isLgl w:val="false"/>
      <w:lvlJc w:val="left"/>
      <w:lvlText w:val="o"/>
      <w:numFmt w:val="bullet"/>
      <w:pPr>
        <w:pBdr/>
        <w:tabs>
          <w:tab w:val="num" w:leader="none" w:pos="3600"/>
        </w:tabs>
        <w:spacing/>
        <w:ind w:hanging="360" w:left="3600"/>
      </w:pPr>
      <w:rPr>
        <w:rFonts w:ascii="Courier New" w:hAnsi="Courier New"/>
      </w:rPr>
      <w:start w:val="1"/>
      <w:suff w:val="tab"/>
    </w:lvl>
    <w:lvl w:ilvl="5">
      <w:isLgl w:val="false"/>
      <w:lvlJc w:val="left"/>
      <w:lvlText w:val=""/>
      <w:numFmt w:val="bullet"/>
      <w:pPr>
        <w:pBdr/>
        <w:tabs>
          <w:tab w:val="num" w:leader="none" w:pos="4320"/>
        </w:tabs>
        <w:spacing/>
        <w:ind w:hanging="360" w:left="4320"/>
      </w:pPr>
      <w:rPr>
        <w:rFonts w:ascii="Wingdings" w:hAnsi="Wingdings"/>
      </w:rPr>
      <w:start w:val="1"/>
      <w:suff w:val="tab"/>
    </w:lvl>
    <w:lvl w:ilvl="6">
      <w:isLgl w:val="false"/>
      <w:lvlJc w:val="left"/>
      <w:lvlText w:val=""/>
      <w:numFmt w:val="bullet"/>
      <w:pPr>
        <w:pBdr/>
        <w:tabs>
          <w:tab w:val="num" w:leader="none" w:pos="5040"/>
        </w:tabs>
        <w:spacing/>
        <w:ind w:hanging="360" w:left="5040"/>
      </w:pPr>
      <w:rPr>
        <w:rFonts w:ascii="Symbol" w:hAnsi="Symbol"/>
      </w:rPr>
      <w:start w:val="1"/>
      <w:suff w:val="tab"/>
    </w:lvl>
    <w:lvl w:ilvl="7">
      <w:isLgl w:val="false"/>
      <w:lvlJc w:val="left"/>
      <w:lvlText w:val="o"/>
      <w:numFmt w:val="bullet"/>
      <w:pPr>
        <w:pBdr/>
        <w:tabs>
          <w:tab w:val="num" w:leader="none" w:pos="5760"/>
        </w:tabs>
        <w:spacing/>
        <w:ind w:hanging="360" w:left="5760"/>
      </w:pPr>
      <w:rPr>
        <w:rFonts w:ascii="Courier New" w:hAnsi="Courier New"/>
      </w:rPr>
      <w:start w:val="1"/>
      <w:suff w:val="tab"/>
    </w:lvl>
    <w:lvl w:ilvl="8">
      <w:isLgl w:val="false"/>
      <w:lvlJc w:val="left"/>
      <w:lvlText w:val=""/>
      <w:numFmt w:val="bullet"/>
      <w:pPr>
        <w:pBdr/>
        <w:tabs>
          <w:tab w:val="num" w:leader="none" w:pos="6480"/>
        </w:tabs>
        <w:spacing/>
        <w:ind w:hanging="360" w:left="6480"/>
      </w:pPr>
      <w:rPr>
        <w:rFonts w:ascii="Wingdings" w:hAnsi="Wingdings"/>
      </w:rPr>
      <w:start w:val="1"/>
      <w:suff w:val="tab"/>
    </w:lvl>
  </w:abstractNum>
  <w:abstractNum w:abstractNumId="41">
    <w:nsid w:val="751B663E"/>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2">
    <w:nsid w:val="77CA3F5B"/>
    <w:lvl w:ilvl="0">
      <w:isLgl w:val="false"/>
      <w:lvlJc w:val="left"/>
      <w:lvlText w:val=""/>
      <w:numFmt w:val="bullet"/>
      <w:pPr>
        <w:pBdr/>
        <w:spacing/>
        <w:ind w:hanging="360" w:left="72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3">
    <w:nsid w:val="7937076B"/>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44">
    <w:nsid w:val="7AC82E83"/>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5">
    <w:nsid w:val="7B147D58"/>
    <w:lvl w:ilvl="0">
      <w:isLgl w:val="false"/>
      <w:lvlJc w:val="left"/>
      <w:lvlText w:val=""/>
      <w:numFmt w:val="bullet"/>
      <w:pPr>
        <w:pBdr/>
        <w:tabs>
          <w:tab w:val="num" w:leader="none" w:pos="360"/>
        </w:tabs>
        <w:spacing/>
        <w:ind w:hanging="360" w:left="360"/>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6">
    <w:nsid w:val="7C6A3DAE"/>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4)"/>
      <w:numFmt w:val="decimal"/>
      <w:pPr>
        <w:pBdr/>
        <w:tabs>
          <w:tab w:val="num" w:leader="none" w:pos="1440"/>
        </w:tabs>
        <w:spacing/>
        <w:ind w:hanging="360" w:left="144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47">
    <w:nsid w:val="7D964214"/>
    <w:lvl w:ilvl="0">
      <w:isLgl w:val="false"/>
      <w:lvlJc w:val="left"/>
      <w:lvlText w:val=""/>
      <w:numFmt w:val="bullet"/>
      <w:pPr>
        <w:pBdr/>
        <w:tabs>
          <w:tab w:val="num" w:leader="none" w:pos="720"/>
        </w:tabs>
        <w:spacing/>
        <w:ind w:hanging="360" w:left="720"/>
      </w:pPr>
      <w:rPr>
        <w:rFonts w:ascii="Symbol" w:hAnsi="Symbol"/>
      </w:rPr>
      <w:start w:val="1"/>
      <w:suff w:val="tab"/>
    </w:lvl>
    <w:lvl w:ilvl="1">
      <w:isLgl w:val="false"/>
      <w:lvlJc w:val="left"/>
      <w:lvlText w:val=""/>
      <w:numFmt w:val="bullet"/>
      <w:pPr>
        <w:pBdr/>
        <w:tabs>
          <w:tab w:val="num" w:leader="none" w:pos="1440"/>
        </w:tabs>
        <w:spacing/>
        <w:ind w:hanging="360" w:left="1440"/>
      </w:pPr>
      <w:rPr>
        <w:rFonts w:ascii="Wingdings" w:hAnsi="Wingdings"/>
      </w:rPr>
      <w:start w:val="1"/>
      <w:suff w:val="tab"/>
    </w:lvl>
    <w:lvl w:ilvl="2">
      <w:isLgl w:val="false"/>
      <w:lvlJc w:val="left"/>
      <w:lvlText w:val=""/>
      <w:numFmt w:val="bullet"/>
      <w:pPr>
        <w:pBdr/>
        <w:tabs>
          <w:tab w:val="num" w:leader="none" w:pos="2160"/>
        </w:tabs>
        <w:spacing/>
        <w:ind w:hanging="360" w:left="2160"/>
      </w:pPr>
      <w:rPr>
        <w:rFonts w:ascii="Wingdings" w:hAnsi="Wingdings"/>
      </w:rPr>
      <w:start w:val="1"/>
      <w:suff w:val="tab"/>
    </w:lvl>
    <w:lvl w:ilvl="3">
      <w:isLgl w:val="false"/>
      <w:lvlJc w:val="left"/>
      <w:lvlText w:val=""/>
      <w:numFmt w:val="bullet"/>
      <w:pPr>
        <w:pBdr/>
        <w:tabs>
          <w:tab w:val="num" w:leader="none" w:pos="2880"/>
        </w:tabs>
        <w:spacing/>
        <w:ind w:hanging="360" w:left="2880"/>
      </w:pPr>
      <w:rPr>
        <w:rFonts w:ascii="Symbol" w:hAnsi="Symbol"/>
      </w:rPr>
      <w:start w:val="1"/>
      <w:suff w:val="tab"/>
    </w:lvl>
    <w:lvl w:ilvl="4">
      <w:isLgl w:val="false"/>
      <w:lvlJc w:val="left"/>
      <w:lvlText w:val="o"/>
      <w:numFmt w:val="bullet"/>
      <w:pPr>
        <w:pBdr/>
        <w:tabs>
          <w:tab w:val="num" w:leader="none" w:pos="3600"/>
        </w:tabs>
        <w:spacing/>
        <w:ind w:hanging="360" w:left="3600"/>
      </w:pPr>
      <w:rPr>
        <w:rFonts w:ascii="Courier New" w:hAnsi="Courier New"/>
      </w:rPr>
      <w:start w:val="1"/>
      <w:suff w:val="tab"/>
    </w:lvl>
    <w:lvl w:ilvl="5">
      <w:isLgl w:val="false"/>
      <w:lvlJc w:val="left"/>
      <w:lvlText w:val=""/>
      <w:numFmt w:val="bullet"/>
      <w:pPr>
        <w:pBdr/>
        <w:tabs>
          <w:tab w:val="num" w:leader="none" w:pos="4320"/>
        </w:tabs>
        <w:spacing/>
        <w:ind w:hanging="360" w:left="4320"/>
      </w:pPr>
      <w:rPr>
        <w:rFonts w:ascii="Wingdings" w:hAnsi="Wingdings"/>
      </w:rPr>
      <w:start w:val="1"/>
      <w:suff w:val="tab"/>
    </w:lvl>
    <w:lvl w:ilvl="6">
      <w:isLgl w:val="false"/>
      <w:lvlJc w:val="left"/>
      <w:lvlText w:val=""/>
      <w:numFmt w:val="bullet"/>
      <w:pPr>
        <w:pBdr/>
        <w:tabs>
          <w:tab w:val="num" w:leader="none" w:pos="5040"/>
        </w:tabs>
        <w:spacing/>
        <w:ind w:hanging="360" w:left="5040"/>
      </w:pPr>
      <w:rPr>
        <w:rFonts w:ascii="Symbol" w:hAnsi="Symbol"/>
      </w:rPr>
      <w:start w:val="1"/>
      <w:suff w:val="tab"/>
    </w:lvl>
    <w:lvl w:ilvl="7">
      <w:isLgl w:val="false"/>
      <w:lvlJc w:val="left"/>
      <w:lvlText w:val="o"/>
      <w:numFmt w:val="bullet"/>
      <w:pPr>
        <w:pBdr/>
        <w:tabs>
          <w:tab w:val="num" w:leader="none" w:pos="5760"/>
        </w:tabs>
        <w:spacing/>
        <w:ind w:hanging="360" w:left="5760"/>
      </w:pPr>
      <w:rPr>
        <w:rFonts w:ascii="Courier New" w:hAnsi="Courier New"/>
      </w:rPr>
      <w:start w:val="1"/>
      <w:suff w:val="tab"/>
    </w:lvl>
    <w:lvl w:ilvl="8">
      <w:isLgl w:val="false"/>
      <w:lvlJc w:val="left"/>
      <w:lvlText w:val=""/>
      <w:numFmt w:val="bullet"/>
      <w:pPr>
        <w:pBdr/>
        <w:tabs>
          <w:tab w:val="num" w:leader="none" w:pos="6480"/>
        </w:tabs>
        <w:spacing/>
        <w:ind w:hanging="360" w:left="6480"/>
      </w:pPr>
      <w:rPr>
        <w:rFonts w:ascii="Wingdings" w:hAnsi="Wingdings"/>
      </w:rPr>
      <w:start w:val="1"/>
      <w:suff w:val="tab"/>
    </w:lvl>
  </w:abstractNum>
  <w:abstractNum w:abstractNumId="48">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49">
    <w:nsid w:val="4B334B7C"/>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50">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1">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52">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3">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54">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5">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56">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7">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58">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59">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60">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61">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2">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63">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4">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65">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6">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67">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68">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69">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70">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71">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72">
    <w:nsid w:val="581C126A"/>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73">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4">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5">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6">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7">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78">
    <w:nsid w:val="2C3E06F0"/>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79">
    <w:nsid w:val="2C3E06F0"/>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0">
    <w:nsid w:val="54D142D8"/>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81">
    <w:nsid w:val="37A3A203"/>
    <w:lvl w:ilvl="0">
      <w:isLgl w:val="false"/>
      <w:lvlJc w:val="left"/>
      <w:lvlText w:val="–"/>
      <w:numFmt w:val="bullet"/>
      <w:pPr>
        <w:pBdr/>
        <w:spacing/>
        <w:ind w:hanging="360" w:left="709"/>
      </w:pPr>
      <w:rPr>
        <w:rFonts w:hint="default" w:ascii="Arial" w:hAnsi="Arial" w:eastAsia="Arial" w:cs="Aria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82">
    <w:nsid w:val="2C3E06F0"/>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3">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4">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5">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6">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7">
    <w:nsid w:val="1E217C2B"/>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8">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89">
    <w:nsid w:val="6F1F3DE9"/>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90">
    <w:nsid w:val="FFFFFFFB"/>
    <w:lvl w:ilvl="0">
      <w:isLgl w:val="false"/>
      <w:legacy w:legacy="true" w:legacyIndent="0" w:legacySpace="0"/>
      <w:lvlJc w:val="left"/>
      <w:lvlText w:val="%1."/>
      <w:numFmt w:val="decimal"/>
      <w:pPr>
        <w:pBdr/>
        <w:spacing/>
        <w:ind w:hanging="360" w:left="360"/>
      </w:pPr>
      <w:rPr/>
      <w:start w:val="1"/>
      <w:suff w:val="tab"/>
    </w:lvl>
    <w:lvl w:ilvl="1">
      <w:isLgl w:val="false"/>
      <w:legacy w:legacy="true" w:legacyIndent="0" w:legacySpace="0"/>
      <w:lvlJc w:val="left"/>
      <w:lvlText w:val="%1.%2."/>
      <w:numFmt w:val="decimal"/>
      <w:pPr>
        <w:pBdr/>
        <w:spacing/>
        <w:ind/>
      </w:pPr>
      <w:rPr/>
      <w:start w:val="1"/>
      <w:suff w:val="tab"/>
    </w:lvl>
    <w:lvl w:ilvl="2">
      <w:isLgl w:val="false"/>
      <w:legacy w:legacy="true" w:legacyIndent="0" w:legacySpace="0"/>
      <w:lvlJc w:val="left"/>
      <w:lvlText w:val="%1.%2.%3."/>
      <w:numFmt w:val="decimal"/>
      <w:pPr>
        <w:pBdr/>
        <w:spacing/>
        <w:ind/>
      </w:pPr>
      <w:rPr/>
      <w:start w:val="1"/>
      <w:suff w:val="tab"/>
    </w:lvl>
    <w:lvl w:ilvl="3">
      <w:isLgl w:val="false"/>
      <w:legacy w:legacy="true" w:legacyIndent="0" w:legacySpace="0"/>
      <w:lvlJc w:val="left"/>
      <w:lvlText w:val="%1.%2.%3.%4."/>
      <w:numFmt w:val="decimal"/>
      <w:pPr>
        <w:pBdr/>
        <w:spacing/>
        <w:ind/>
      </w:pPr>
      <w:rPr/>
      <w:start w:val="1"/>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91">
    <w:nsid w:val="1D4CE6AF"/>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92">
    <w:nsid w:val="28A78038"/>
    <w:lvl w:ilvl="0">
      <w:isLgl w:val="false"/>
      <w:lvlJc w:val="left"/>
      <w:lvlText w:val="-"/>
      <w:numFmt w:val="bullet"/>
      <w:pPr>
        <w:pBdr/>
        <w:spacing/>
        <w:ind w:hanging="360" w:left="720"/>
      </w:pPr>
      <w:rPr>
        <w:rFonts w:ascii="Arial" w:hAnsi="Arial" w:eastAsia="Times New Roman" w:cs="Arial"/>
      </w:rPr>
      <w:start w:val="4"/>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num w:numId="1">
    <w:abstractNumId w:val="0"/>
  </w:num>
  <w:num w:numId="2">
    <w:abstractNumId w:val="17"/>
  </w:num>
  <w:num w:numId="3">
    <w:abstractNumId w:val="4"/>
  </w:num>
  <w:num w:numId="4">
    <w:abstractNumId w:val="44"/>
  </w:num>
  <w:num w:numId="5">
    <w:abstractNumId w:val="15"/>
  </w:num>
  <w:num w:numId="6">
    <w:abstractNumId w:val="19"/>
  </w:num>
  <w:num w:numId="7">
    <w:abstractNumId w:val="42"/>
  </w:num>
  <w:num w:numId="8">
    <w:abstractNumId w:val="24"/>
  </w:num>
  <w:num w:numId="9">
    <w:abstractNumId w:val="28"/>
  </w:num>
  <w:num w:numId="10">
    <w:abstractNumId w:val="45"/>
  </w:num>
  <w:num w:numId="11">
    <w:abstractNumId w:val="10"/>
  </w:num>
  <w:num w:numId="12">
    <w:abstractNumId w:val="6"/>
  </w:num>
  <w:num w:numId="13">
    <w:abstractNumId w:val="2"/>
  </w:num>
  <w:num w:numId="14">
    <w:abstractNumId w:val="41"/>
  </w:num>
  <w:num w:numId="15">
    <w:abstractNumId w:val="23"/>
  </w:num>
  <w:num w:numId="16">
    <w:abstractNumId w:val="13"/>
  </w:num>
  <w:num w:numId="17">
    <w:abstractNumId w:val="40"/>
  </w:num>
  <w:num w:numId="18">
    <w:abstractNumId w:val="47"/>
  </w:num>
  <w:num w:numId="19">
    <w:abstractNumId w:val="46"/>
  </w:num>
  <w:num w:numId="20">
    <w:abstractNumId w:val="11"/>
  </w:num>
  <w:num w:numId="21">
    <w:abstractNumId w:val="32"/>
  </w:num>
  <w:num w:numId="22">
    <w:abstractNumId w:val="33"/>
  </w:num>
  <w:num w:numId="23">
    <w:abstractNumId w:val="27"/>
  </w:num>
  <w:num w:numId="24">
    <w:abstractNumId w:val="9"/>
  </w:num>
  <w:num w:numId="25">
    <w:abstractNumId w:val="16"/>
  </w:num>
  <w:num w:numId="26">
    <w:abstractNumId w:val="30"/>
  </w:num>
  <w:num w:numId="27">
    <w:abstractNumId w:val="36"/>
  </w:num>
  <w:num w:numId="28">
    <w:abstractNumId w:val="7"/>
  </w:num>
  <w:num w:numId="29">
    <w:abstractNumId w:val="35"/>
  </w:num>
  <w:num w:numId="30">
    <w:abstractNumId w:val="26"/>
  </w:num>
  <w:num w:numId="31">
    <w:abstractNumId w:val="31"/>
  </w:num>
  <w:num w:numId="32">
    <w:abstractNumId w:val="38"/>
  </w:num>
  <w:num w:numId="33">
    <w:abstractNumId w:val="22"/>
  </w:num>
  <w:num w:numId="34">
    <w:abstractNumId w:val="5"/>
  </w:num>
  <w:num w:numId="35">
    <w:abstractNumId w:val="34"/>
  </w:num>
  <w:num w:numId="36">
    <w:abstractNumId w:val="3"/>
  </w:num>
  <w:num w:numId="37">
    <w:abstractNumId w:val="39"/>
  </w:num>
  <w:num w:numId="38">
    <w:abstractNumId w:val="1"/>
  </w:num>
  <w:num w:numId="39">
    <w:abstractNumId w:val="14"/>
  </w:num>
  <w:num w:numId="40">
    <w:abstractNumId w:val="29"/>
  </w:num>
  <w:num w:numId="41">
    <w:abstractNumId w:val="8"/>
  </w:num>
  <w:num w:numId="42">
    <w:abstractNumId w:val="12"/>
  </w:num>
  <w:num w:numId="43">
    <w:abstractNumId w:val="37"/>
  </w:num>
  <w:num w:numId="44">
    <w:abstractNumId w:val="25"/>
  </w:num>
  <w:num w:numId="45">
    <w:abstractNumId w:val="43"/>
  </w:num>
  <w:num w:numId="46">
    <w:abstractNumId w:val="20"/>
  </w:num>
  <w:num w:numId="47">
    <w:abstractNumId w:val="18"/>
  </w:num>
  <w:num w:numId="48">
    <w:abstractNumId w:val="21"/>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cs-CZ"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92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Table Grid"/>
    <w:basedOn w:val="92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Table Grid Light"/>
    <w:basedOn w:val="92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Plain Table 1"/>
    <w:basedOn w:val="92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Plain Table 2"/>
    <w:basedOn w:val="92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Plain Table 3"/>
    <w:basedOn w:val="92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Plain Table 4"/>
    <w:basedOn w:val="92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Plain Table 5"/>
    <w:basedOn w:val="92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1 Light"/>
    <w:basedOn w:val="92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1 Light - Accent 1"/>
    <w:basedOn w:val="92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Grid Table 1 Light - Accent 2"/>
    <w:basedOn w:val="92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Grid Table 1 Light - Accent 3"/>
    <w:basedOn w:val="92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Grid Table 1 Light - Accent 4"/>
    <w:basedOn w:val="92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Grid Table 1 Light - Accent 5"/>
    <w:basedOn w:val="92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Grid Table 1 Light - Accent 6"/>
    <w:basedOn w:val="92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Grid Table 2"/>
    <w:basedOn w:val="92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Grid Table 2 - Accent 1"/>
    <w:basedOn w:val="92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Grid Table 2 - Accent 2"/>
    <w:basedOn w:val="92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Grid Table 2 - Accent 3"/>
    <w:basedOn w:val="92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Grid Table 2 - Accent 4"/>
    <w:basedOn w:val="92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Grid Table 2 - Accent 5"/>
    <w:basedOn w:val="92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Grid Table 2 - Accent 6"/>
    <w:basedOn w:val="92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3"/>
    <w:basedOn w:val="92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3 - Accent 1"/>
    <w:basedOn w:val="92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3 - Accent 2"/>
    <w:basedOn w:val="92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3 - Accent 3"/>
    <w:basedOn w:val="92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3 - Accent 4"/>
    <w:basedOn w:val="92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3 - Accent 5"/>
    <w:basedOn w:val="92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Grid Table 3 - Accent 6"/>
    <w:basedOn w:val="92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Grid Table 4"/>
    <w:basedOn w:val="92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4 - Accent 1"/>
    <w:basedOn w:val="92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Grid Table 4 - Accent 2"/>
    <w:basedOn w:val="92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Grid Table 4 - Accent 3"/>
    <w:basedOn w:val="92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Grid Table 4 - Accent 4"/>
    <w:basedOn w:val="92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4 - Accent 5"/>
    <w:basedOn w:val="92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4 - Accent 6"/>
    <w:basedOn w:val="92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5 Dark"/>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5 Dark- Accent 1"/>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5 Dark - Accent 2"/>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5 Dark - Accent 3"/>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5 Dark- Accent 4"/>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5 Dark - Accent 5"/>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5 Dark - Accent 6"/>
    <w:basedOn w:val="9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6 Colorful"/>
    <w:basedOn w:val="92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68">
    <w:name w:val="Grid Table 6 Colorful - Accent 1"/>
    <w:basedOn w:val="92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69">
    <w:name w:val="Grid Table 6 Colorful - Accent 2"/>
    <w:basedOn w:val="92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70">
    <w:name w:val="Grid Table 6 Colorful - Accent 3"/>
    <w:basedOn w:val="92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71">
    <w:name w:val="Grid Table 6 Colorful - Accent 4"/>
    <w:basedOn w:val="92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72">
    <w:name w:val="Grid Table 6 Colorful - Accent 5"/>
    <w:basedOn w:val="92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3">
    <w:name w:val="Grid Table 6 Colorful - Accent 6"/>
    <w:basedOn w:val="92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4">
    <w:name w:val="Grid Table 7 Colorful"/>
    <w:basedOn w:val="92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Grid Table 7 Colorful - Accent 1"/>
    <w:basedOn w:val="92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Grid Table 7 Colorful - Accent 2"/>
    <w:basedOn w:val="92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Grid Table 7 Colorful - Accent 3"/>
    <w:basedOn w:val="92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Grid Table 7 Colorful - Accent 4"/>
    <w:basedOn w:val="92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Grid Table 7 Colorful - Accent 5"/>
    <w:basedOn w:val="92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Grid Table 7 Colorful - Accent 6"/>
    <w:basedOn w:val="92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st Table 1 Light"/>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List Table 1 Light - Accent 1"/>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List Table 1 Light - Accent 2"/>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st Table 1 Light - Accent 3"/>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st Table 1 Light - Accent 4"/>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1 Light - Accent 5"/>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1 Light - Accent 6"/>
    <w:basedOn w:val="9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2"/>
    <w:basedOn w:val="92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2 - Accent 1"/>
    <w:basedOn w:val="92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2 - Accent 2"/>
    <w:basedOn w:val="92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2 - Accent 3"/>
    <w:basedOn w:val="92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2 - Accent 4"/>
    <w:basedOn w:val="92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2 - Accent 5"/>
    <w:basedOn w:val="92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2 - Accent 6"/>
    <w:basedOn w:val="92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List Table 3"/>
    <w:basedOn w:val="92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3 - Accent 1"/>
    <w:basedOn w:val="92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List Table 3 - Accent 2"/>
    <w:basedOn w:val="92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List Table 3 - Accent 3"/>
    <w:basedOn w:val="92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List Table 3 - Accent 4"/>
    <w:basedOn w:val="92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List Table 3 - Accent 5"/>
    <w:basedOn w:val="92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List Table 3 - Accent 6"/>
    <w:basedOn w:val="92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st Table 4"/>
    <w:basedOn w:val="92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st Table 4 - Accent 1"/>
    <w:basedOn w:val="92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st Table 4 - Accent 2"/>
    <w:basedOn w:val="92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st Table 4 - Accent 3"/>
    <w:basedOn w:val="92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st Table 4 - Accent 4"/>
    <w:basedOn w:val="92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st Table 4 - Accent 5"/>
    <w:basedOn w:val="92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List Table 4 - Accent 6"/>
    <w:basedOn w:val="92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List Table 5 Dark"/>
    <w:basedOn w:val="92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0">
    <w:name w:val="List Table 5 Dark - Accent 1"/>
    <w:basedOn w:val="92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1">
    <w:name w:val="List Table 5 Dark - Accent 2"/>
    <w:basedOn w:val="92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2">
    <w:name w:val="List Table 5 Dark - Accent 3"/>
    <w:basedOn w:val="92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3">
    <w:name w:val="List Table 5 Dark - Accent 4"/>
    <w:basedOn w:val="92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4">
    <w:name w:val="List Table 5 Dark - Accent 5"/>
    <w:basedOn w:val="92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5">
    <w:name w:val="List Table 5 Dark - Accent 6"/>
    <w:basedOn w:val="92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6">
    <w:name w:val="List Table 6 Colorful"/>
    <w:basedOn w:val="92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List Table 6 Colorful - Accent 1"/>
    <w:basedOn w:val="92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List Table 6 Colorful - Accent 2"/>
    <w:basedOn w:val="92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List Table 6 Colorful - Accent 3"/>
    <w:basedOn w:val="92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List Table 6 Colorful - Accent 4"/>
    <w:basedOn w:val="92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List Table 6 Colorful - Accent 5"/>
    <w:basedOn w:val="92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List Table 6 Colorful - Accent 6"/>
    <w:basedOn w:val="92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name w:val="List Table 7 Colorful"/>
    <w:basedOn w:val="92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024">
    <w:name w:val="List Table 7 Colorful - Accent 1"/>
    <w:basedOn w:val="92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025">
    <w:name w:val="List Table 7 Colorful - Accent 2"/>
    <w:basedOn w:val="92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026">
    <w:name w:val="List Table 7 Colorful - Accent 3"/>
    <w:basedOn w:val="92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027">
    <w:name w:val="List Table 7 Colorful - Accent 4"/>
    <w:basedOn w:val="92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028">
    <w:name w:val="List Table 7 Colorful - Accent 5"/>
    <w:basedOn w:val="92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029">
    <w:name w:val="List Table 7 Colorful - Accent 6"/>
    <w:basedOn w:val="92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030">
    <w:name w:val="Lined - Accent"/>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name w:val="Lined - Accent 1"/>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Lined - Accent 2"/>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name w:val="Lined - Accent 3"/>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Lined - Accent 4"/>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Lined - Accent 5"/>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name w:val="Lined - Accent 6"/>
    <w:basedOn w:val="9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name w:val="Bordered &amp; Lined - Accent"/>
    <w:basedOn w:val="92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name w:val="Bordered &amp; Lined - Accent 1"/>
    <w:basedOn w:val="92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name w:val="Bordered &amp; Lined - Accent 2"/>
    <w:basedOn w:val="92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name w:val="Bordered &amp; Lined - Accent 3"/>
    <w:basedOn w:val="92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name w:val="Bordered &amp; Lined - Accent 4"/>
    <w:basedOn w:val="92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name w:val="Bordered &amp; Lined - Accent 5"/>
    <w:basedOn w:val="92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name w:val="Bordered &amp; Lined - Accent 6"/>
    <w:basedOn w:val="92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name w:val="Bordered"/>
    <w:basedOn w:val="92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name w:val="Bordered - Accent 1"/>
    <w:basedOn w:val="92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name w:val="Bordered - Accent 2"/>
    <w:basedOn w:val="92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name w:val="Bordered - Accent 3"/>
    <w:basedOn w:val="92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name w:val="Bordered - Accent 4"/>
    <w:basedOn w:val="92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name w:val="Bordered - Accent 5"/>
    <w:basedOn w:val="92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name w:val="Bordered - Accent 6"/>
    <w:basedOn w:val="92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51">
    <w:name w:val="Heading 1"/>
    <w:basedOn w:val="1113"/>
    <w:next w:val="1113"/>
    <w:link w:val="1062"/>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052">
    <w:name w:val="Heading 2"/>
    <w:basedOn w:val="1113"/>
    <w:next w:val="1113"/>
    <w:link w:val="1063"/>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053">
    <w:name w:val="Heading 3"/>
    <w:basedOn w:val="1113"/>
    <w:next w:val="1113"/>
    <w:link w:val="1064"/>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054">
    <w:name w:val="Heading 4"/>
    <w:basedOn w:val="1113"/>
    <w:next w:val="1113"/>
    <w:link w:val="1065"/>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055">
    <w:name w:val="Heading 5"/>
    <w:basedOn w:val="1113"/>
    <w:next w:val="1113"/>
    <w:link w:val="1066"/>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056">
    <w:name w:val="Heading 6"/>
    <w:basedOn w:val="1113"/>
    <w:next w:val="1113"/>
    <w:link w:val="106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057">
    <w:name w:val="Heading 7"/>
    <w:basedOn w:val="1113"/>
    <w:next w:val="1113"/>
    <w:link w:val="106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058">
    <w:name w:val="Heading 8"/>
    <w:basedOn w:val="1113"/>
    <w:next w:val="1113"/>
    <w:link w:val="106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059">
    <w:name w:val="Heading 9"/>
    <w:basedOn w:val="1113"/>
    <w:next w:val="1113"/>
    <w:link w:val="107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060" w:default="1">
    <w:name w:val="Default Paragraph Font"/>
    <w:uiPriority w:val="1"/>
    <w:semiHidden/>
    <w:unhideWhenUsed/>
    <w:pPr>
      <w:pBdr/>
      <w:spacing/>
      <w:ind/>
    </w:pPr>
  </w:style>
  <w:style w:type="numbering" w:styleId="1061" w:default="1">
    <w:name w:val="No List"/>
    <w:uiPriority w:val="99"/>
    <w:semiHidden/>
    <w:unhideWhenUsed/>
    <w:pPr>
      <w:pBdr/>
      <w:spacing/>
      <w:ind/>
    </w:pPr>
  </w:style>
  <w:style w:type="character" w:styleId="1062">
    <w:name w:val="Heading 1 Char"/>
    <w:basedOn w:val="1060"/>
    <w:link w:val="1051"/>
    <w:uiPriority w:val="9"/>
    <w:pPr>
      <w:pBdr/>
      <w:spacing/>
      <w:ind/>
    </w:pPr>
    <w:rPr>
      <w:rFonts w:ascii="Arial" w:hAnsi="Arial" w:eastAsia="Arial" w:cs="Arial"/>
      <w:color w:val="0f4761" w:themeColor="accent1" w:themeShade="BF"/>
      <w:sz w:val="40"/>
      <w:szCs w:val="40"/>
    </w:rPr>
  </w:style>
  <w:style w:type="character" w:styleId="1063">
    <w:name w:val="Heading 2 Char"/>
    <w:basedOn w:val="1060"/>
    <w:link w:val="1052"/>
    <w:uiPriority w:val="9"/>
    <w:pPr>
      <w:pBdr/>
      <w:spacing/>
      <w:ind/>
    </w:pPr>
    <w:rPr>
      <w:rFonts w:ascii="Arial" w:hAnsi="Arial" w:eastAsia="Arial" w:cs="Arial"/>
      <w:color w:val="0f4761" w:themeColor="accent1" w:themeShade="BF"/>
      <w:sz w:val="32"/>
      <w:szCs w:val="32"/>
    </w:rPr>
  </w:style>
  <w:style w:type="character" w:styleId="1064">
    <w:name w:val="Heading 3 Char"/>
    <w:basedOn w:val="1060"/>
    <w:link w:val="1053"/>
    <w:uiPriority w:val="9"/>
    <w:pPr>
      <w:pBdr/>
      <w:spacing/>
      <w:ind/>
    </w:pPr>
    <w:rPr>
      <w:rFonts w:ascii="Arial" w:hAnsi="Arial" w:eastAsia="Arial" w:cs="Arial"/>
      <w:color w:val="0f4761" w:themeColor="accent1" w:themeShade="BF"/>
      <w:sz w:val="28"/>
      <w:szCs w:val="28"/>
    </w:rPr>
  </w:style>
  <w:style w:type="character" w:styleId="1065">
    <w:name w:val="Heading 4 Char"/>
    <w:basedOn w:val="1060"/>
    <w:link w:val="1054"/>
    <w:uiPriority w:val="9"/>
    <w:pPr>
      <w:pBdr/>
      <w:spacing/>
      <w:ind/>
    </w:pPr>
    <w:rPr>
      <w:rFonts w:ascii="Arial" w:hAnsi="Arial" w:eastAsia="Arial" w:cs="Arial"/>
      <w:i/>
      <w:iCs/>
      <w:color w:val="0f4761" w:themeColor="accent1" w:themeShade="BF"/>
    </w:rPr>
  </w:style>
  <w:style w:type="character" w:styleId="1066">
    <w:name w:val="Heading 5 Char"/>
    <w:basedOn w:val="1060"/>
    <w:link w:val="1055"/>
    <w:uiPriority w:val="9"/>
    <w:pPr>
      <w:pBdr/>
      <w:spacing/>
      <w:ind/>
    </w:pPr>
    <w:rPr>
      <w:rFonts w:ascii="Arial" w:hAnsi="Arial" w:eastAsia="Arial" w:cs="Arial"/>
      <w:color w:val="0f4761" w:themeColor="accent1" w:themeShade="BF"/>
    </w:rPr>
  </w:style>
  <w:style w:type="character" w:styleId="1067">
    <w:name w:val="Heading 6 Char"/>
    <w:basedOn w:val="1060"/>
    <w:link w:val="1056"/>
    <w:uiPriority w:val="9"/>
    <w:pPr>
      <w:pBdr/>
      <w:spacing/>
      <w:ind/>
    </w:pPr>
    <w:rPr>
      <w:rFonts w:ascii="Arial" w:hAnsi="Arial" w:eastAsia="Arial" w:cs="Arial"/>
      <w:i/>
      <w:iCs/>
      <w:color w:val="595959" w:themeColor="text1" w:themeTint="A6"/>
    </w:rPr>
  </w:style>
  <w:style w:type="character" w:styleId="1068">
    <w:name w:val="Heading 7 Char"/>
    <w:basedOn w:val="1060"/>
    <w:link w:val="1057"/>
    <w:uiPriority w:val="9"/>
    <w:pPr>
      <w:pBdr/>
      <w:spacing/>
      <w:ind/>
    </w:pPr>
    <w:rPr>
      <w:rFonts w:ascii="Arial" w:hAnsi="Arial" w:eastAsia="Arial" w:cs="Arial"/>
      <w:color w:val="595959" w:themeColor="text1" w:themeTint="A6"/>
    </w:rPr>
  </w:style>
  <w:style w:type="character" w:styleId="1069">
    <w:name w:val="Heading 8 Char"/>
    <w:basedOn w:val="1060"/>
    <w:link w:val="1058"/>
    <w:uiPriority w:val="9"/>
    <w:pPr>
      <w:pBdr/>
      <w:spacing/>
      <w:ind/>
    </w:pPr>
    <w:rPr>
      <w:rFonts w:ascii="Arial" w:hAnsi="Arial" w:eastAsia="Arial" w:cs="Arial"/>
      <w:i/>
      <w:iCs/>
      <w:color w:val="272727" w:themeColor="text1" w:themeTint="D8"/>
    </w:rPr>
  </w:style>
  <w:style w:type="character" w:styleId="1070">
    <w:name w:val="Heading 9 Char"/>
    <w:basedOn w:val="1060"/>
    <w:link w:val="1059"/>
    <w:uiPriority w:val="9"/>
    <w:pPr>
      <w:pBdr/>
      <w:spacing/>
      <w:ind/>
    </w:pPr>
    <w:rPr>
      <w:rFonts w:ascii="Arial" w:hAnsi="Arial" w:eastAsia="Arial" w:cs="Arial"/>
      <w:i/>
      <w:iCs/>
      <w:color w:val="272727" w:themeColor="text1" w:themeTint="D8"/>
    </w:rPr>
  </w:style>
  <w:style w:type="paragraph" w:styleId="1071">
    <w:name w:val="Title"/>
    <w:basedOn w:val="1113"/>
    <w:next w:val="1113"/>
    <w:link w:val="1072"/>
    <w:uiPriority w:val="10"/>
    <w:qFormat/>
    <w:pPr>
      <w:pBdr/>
      <w:spacing w:after="80" w:line="240" w:lineRule="auto"/>
      <w:ind/>
      <w:contextualSpacing w:val="true"/>
    </w:pPr>
    <w:rPr>
      <w:rFonts w:ascii="Arial" w:hAnsi="Arial" w:eastAsia="Arial" w:cs="Arial"/>
      <w:spacing w:val="-10"/>
      <w:sz w:val="56"/>
      <w:szCs w:val="56"/>
    </w:rPr>
  </w:style>
  <w:style w:type="character" w:styleId="1072">
    <w:name w:val="Title Char"/>
    <w:basedOn w:val="1060"/>
    <w:link w:val="1071"/>
    <w:uiPriority w:val="10"/>
    <w:pPr>
      <w:pBdr/>
      <w:spacing/>
      <w:ind/>
    </w:pPr>
    <w:rPr>
      <w:rFonts w:ascii="Arial" w:hAnsi="Arial" w:eastAsia="Arial" w:cs="Arial"/>
      <w:spacing w:val="-10"/>
      <w:sz w:val="56"/>
      <w:szCs w:val="56"/>
    </w:rPr>
  </w:style>
  <w:style w:type="paragraph" w:styleId="1073">
    <w:name w:val="Subtitle"/>
    <w:basedOn w:val="1113"/>
    <w:next w:val="1113"/>
    <w:link w:val="1074"/>
    <w:uiPriority w:val="11"/>
    <w:qFormat/>
    <w:pPr>
      <w:numPr>
        <w:ilvl w:val="1"/>
      </w:numPr>
      <w:pBdr/>
      <w:spacing/>
      <w:ind/>
    </w:pPr>
    <w:rPr>
      <w:color w:val="595959" w:themeColor="text1" w:themeTint="A6"/>
      <w:spacing w:val="15"/>
      <w:sz w:val="28"/>
      <w:szCs w:val="28"/>
    </w:rPr>
  </w:style>
  <w:style w:type="character" w:styleId="1074">
    <w:name w:val="Subtitle Char"/>
    <w:basedOn w:val="1060"/>
    <w:link w:val="1073"/>
    <w:uiPriority w:val="11"/>
    <w:pPr>
      <w:pBdr/>
      <w:spacing/>
      <w:ind/>
    </w:pPr>
    <w:rPr>
      <w:color w:val="595959" w:themeColor="text1" w:themeTint="A6"/>
      <w:spacing w:val="15"/>
      <w:sz w:val="28"/>
      <w:szCs w:val="28"/>
    </w:rPr>
  </w:style>
  <w:style w:type="paragraph" w:styleId="1075">
    <w:name w:val="Quote"/>
    <w:basedOn w:val="1113"/>
    <w:next w:val="1113"/>
    <w:link w:val="1076"/>
    <w:uiPriority w:val="29"/>
    <w:qFormat/>
    <w:pPr>
      <w:pBdr/>
      <w:spacing w:before="160"/>
      <w:ind/>
      <w:jc w:val="center"/>
    </w:pPr>
    <w:rPr>
      <w:i/>
      <w:iCs/>
      <w:color w:val="404040" w:themeColor="text1" w:themeTint="BF"/>
    </w:rPr>
  </w:style>
  <w:style w:type="character" w:styleId="1076">
    <w:name w:val="Quote Char"/>
    <w:basedOn w:val="1060"/>
    <w:link w:val="1075"/>
    <w:uiPriority w:val="29"/>
    <w:pPr>
      <w:pBdr/>
      <w:spacing/>
      <w:ind/>
    </w:pPr>
    <w:rPr>
      <w:i/>
      <w:iCs/>
      <w:color w:val="404040" w:themeColor="text1" w:themeTint="BF"/>
    </w:rPr>
  </w:style>
  <w:style w:type="paragraph" w:styleId="1077">
    <w:name w:val="List Paragraph"/>
    <w:basedOn w:val="1113"/>
    <w:uiPriority w:val="34"/>
    <w:qFormat/>
    <w:pPr>
      <w:pBdr/>
      <w:spacing/>
      <w:ind w:left="720"/>
      <w:contextualSpacing w:val="true"/>
    </w:pPr>
  </w:style>
  <w:style w:type="character" w:styleId="1078">
    <w:name w:val="Intense Emphasis"/>
    <w:basedOn w:val="1060"/>
    <w:uiPriority w:val="21"/>
    <w:qFormat/>
    <w:pPr>
      <w:pBdr/>
      <w:spacing/>
      <w:ind/>
    </w:pPr>
    <w:rPr>
      <w:i/>
      <w:iCs/>
      <w:color w:val="0f4761" w:themeColor="accent1" w:themeShade="BF"/>
    </w:rPr>
  </w:style>
  <w:style w:type="paragraph" w:styleId="1079">
    <w:name w:val="Intense Quote"/>
    <w:basedOn w:val="1113"/>
    <w:next w:val="1113"/>
    <w:link w:val="108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080">
    <w:name w:val="Intense Quote Char"/>
    <w:basedOn w:val="1060"/>
    <w:link w:val="1079"/>
    <w:uiPriority w:val="30"/>
    <w:pPr>
      <w:pBdr/>
      <w:spacing/>
      <w:ind/>
    </w:pPr>
    <w:rPr>
      <w:i/>
      <w:iCs/>
      <w:color w:val="0f4761" w:themeColor="accent1" w:themeShade="BF"/>
    </w:rPr>
  </w:style>
  <w:style w:type="character" w:styleId="1081">
    <w:name w:val="Intense Reference"/>
    <w:basedOn w:val="1060"/>
    <w:uiPriority w:val="32"/>
    <w:qFormat/>
    <w:pPr>
      <w:pBdr/>
      <w:spacing/>
      <w:ind/>
    </w:pPr>
    <w:rPr>
      <w:b/>
      <w:bCs/>
      <w:smallCaps/>
      <w:color w:val="0f4761" w:themeColor="accent1" w:themeShade="BF"/>
      <w:spacing w:val="5"/>
    </w:rPr>
  </w:style>
  <w:style w:type="paragraph" w:styleId="1082">
    <w:name w:val="No Spacing"/>
    <w:basedOn w:val="1113"/>
    <w:uiPriority w:val="1"/>
    <w:qFormat/>
    <w:pPr>
      <w:pBdr/>
      <w:spacing w:after="0" w:line="240" w:lineRule="auto"/>
      <w:ind/>
    </w:pPr>
  </w:style>
  <w:style w:type="character" w:styleId="1083">
    <w:name w:val="Subtle Emphasis"/>
    <w:basedOn w:val="1060"/>
    <w:uiPriority w:val="19"/>
    <w:qFormat/>
    <w:pPr>
      <w:pBdr/>
      <w:spacing/>
      <w:ind/>
    </w:pPr>
    <w:rPr>
      <w:i/>
      <w:iCs/>
      <w:color w:val="404040" w:themeColor="text1" w:themeTint="BF"/>
    </w:rPr>
  </w:style>
  <w:style w:type="character" w:styleId="1084">
    <w:name w:val="Emphasis"/>
    <w:basedOn w:val="1060"/>
    <w:uiPriority w:val="20"/>
    <w:qFormat/>
    <w:pPr>
      <w:pBdr/>
      <w:spacing/>
      <w:ind/>
    </w:pPr>
    <w:rPr>
      <w:i/>
      <w:iCs/>
    </w:rPr>
  </w:style>
  <w:style w:type="character" w:styleId="1085">
    <w:name w:val="Strong"/>
    <w:basedOn w:val="1060"/>
    <w:uiPriority w:val="22"/>
    <w:qFormat/>
    <w:pPr>
      <w:pBdr/>
      <w:spacing/>
      <w:ind/>
    </w:pPr>
    <w:rPr>
      <w:b/>
      <w:bCs/>
    </w:rPr>
  </w:style>
  <w:style w:type="character" w:styleId="1086">
    <w:name w:val="Subtle Reference"/>
    <w:basedOn w:val="1060"/>
    <w:uiPriority w:val="31"/>
    <w:qFormat/>
    <w:pPr>
      <w:pBdr/>
      <w:spacing/>
      <w:ind/>
    </w:pPr>
    <w:rPr>
      <w:smallCaps/>
      <w:color w:val="5a5a5a" w:themeColor="text1" w:themeTint="A5"/>
    </w:rPr>
  </w:style>
  <w:style w:type="character" w:styleId="1087">
    <w:name w:val="Book Title"/>
    <w:basedOn w:val="1060"/>
    <w:uiPriority w:val="33"/>
    <w:qFormat/>
    <w:pPr>
      <w:pBdr/>
      <w:spacing/>
      <w:ind/>
    </w:pPr>
    <w:rPr>
      <w:b/>
      <w:bCs/>
      <w:i/>
      <w:iCs/>
      <w:spacing w:val="5"/>
    </w:rPr>
  </w:style>
  <w:style w:type="paragraph" w:styleId="1088">
    <w:name w:val="Header"/>
    <w:basedOn w:val="1113"/>
    <w:link w:val="1089"/>
    <w:uiPriority w:val="99"/>
    <w:unhideWhenUsed/>
    <w:pPr>
      <w:pBdr/>
      <w:tabs>
        <w:tab w:val="center" w:leader="none" w:pos="4844"/>
        <w:tab w:val="right" w:leader="none" w:pos="9689"/>
      </w:tabs>
      <w:spacing w:after="0" w:line="240" w:lineRule="auto"/>
      <w:ind/>
    </w:pPr>
  </w:style>
  <w:style w:type="character" w:styleId="1089">
    <w:name w:val="Header Char"/>
    <w:basedOn w:val="1060"/>
    <w:link w:val="1088"/>
    <w:uiPriority w:val="99"/>
    <w:pPr>
      <w:pBdr/>
      <w:spacing/>
      <w:ind/>
    </w:pPr>
  </w:style>
  <w:style w:type="paragraph" w:styleId="1090">
    <w:name w:val="Footer"/>
    <w:basedOn w:val="1113"/>
    <w:link w:val="1091"/>
    <w:uiPriority w:val="99"/>
    <w:unhideWhenUsed/>
    <w:pPr>
      <w:pBdr/>
      <w:tabs>
        <w:tab w:val="center" w:leader="none" w:pos="4844"/>
        <w:tab w:val="right" w:leader="none" w:pos="9689"/>
      </w:tabs>
      <w:spacing w:after="0" w:line="240" w:lineRule="auto"/>
      <w:ind/>
    </w:pPr>
  </w:style>
  <w:style w:type="character" w:styleId="1091">
    <w:name w:val="Footer Char"/>
    <w:basedOn w:val="1060"/>
    <w:link w:val="1090"/>
    <w:uiPriority w:val="99"/>
    <w:pPr>
      <w:pBdr/>
      <w:spacing/>
      <w:ind/>
    </w:pPr>
  </w:style>
  <w:style w:type="paragraph" w:styleId="1092">
    <w:name w:val="Caption"/>
    <w:basedOn w:val="1113"/>
    <w:next w:val="1113"/>
    <w:uiPriority w:val="35"/>
    <w:unhideWhenUsed/>
    <w:qFormat/>
    <w:pPr>
      <w:pBdr/>
      <w:spacing w:after="200" w:line="240" w:lineRule="auto"/>
      <w:ind/>
    </w:pPr>
    <w:rPr>
      <w:i/>
      <w:iCs/>
      <w:color w:val="0e2841" w:themeColor="text2"/>
      <w:sz w:val="18"/>
      <w:szCs w:val="18"/>
    </w:rPr>
  </w:style>
  <w:style w:type="paragraph" w:styleId="1093">
    <w:name w:val="footnote text"/>
    <w:basedOn w:val="1113"/>
    <w:link w:val="1094"/>
    <w:uiPriority w:val="99"/>
    <w:semiHidden/>
    <w:unhideWhenUsed/>
    <w:pPr>
      <w:pBdr/>
      <w:spacing w:after="0" w:line="240" w:lineRule="auto"/>
      <w:ind/>
    </w:pPr>
    <w:rPr>
      <w:sz w:val="20"/>
      <w:szCs w:val="20"/>
    </w:rPr>
  </w:style>
  <w:style w:type="character" w:styleId="1094">
    <w:name w:val="Footnote Text Char"/>
    <w:basedOn w:val="1060"/>
    <w:link w:val="1093"/>
    <w:uiPriority w:val="99"/>
    <w:semiHidden/>
    <w:pPr>
      <w:pBdr/>
      <w:spacing/>
      <w:ind/>
    </w:pPr>
    <w:rPr>
      <w:sz w:val="20"/>
      <w:szCs w:val="20"/>
    </w:rPr>
  </w:style>
  <w:style w:type="character" w:styleId="1095">
    <w:name w:val="footnote reference"/>
    <w:basedOn w:val="1060"/>
    <w:uiPriority w:val="99"/>
    <w:semiHidden/>
    <w:unhideWhenUsed/>
    <w:pPr>
      <w:pBdr/>
      <w:spacing/>
      <w:ind/>
    </w:pPr>
    <w:rPr>
      <w:vertAlign w:val="superscript"/>
    </w:rPr>
  </w:style>
  <w:style w:type="paragraph" w:styleId="1096">
    <w:name w:val="endnote text"/>
    <w:basedOn w:val="1113"/>
    <w:link w:val="1097"/>
    <w:uiPriority w:val="99"/>
    <w:semiHidden/>
    <w:unhideWhenUsed/>
    <w:pPr>
      <w:pBdr/>
      <w:spacing w:after="0" w:line="240" w:lineRule="auto"/>
      <w:ind/>
    </w:pPr>
    <w:rPr>
      <w:sz w:val="20"/>
      <w:szCs w:val="20"/>
    </w:rPr>
  </w:style>
  <w:style w:type="character" w:styleId="1097">
    <w:name w:val="Endnote Text Char"/>
    <w:basedOn w:val="1060"/>
    <w:link w:val="1096"/>
    <w:uiPriority w:val="99"/>
    <w:semiHidden/>
    <w:pPr>
      <w:pBdr/>
      <w:spacing/>
      <w:ind/>
    </w:pPr>
    <w:rPr>
      <w:sz w:val="20"/>
      <w:szCs w:val="20"/>
    </w:rPr>
  </w:style>
  <w:style w:type="character" w:styleId="1098">
    <w:name w:val="endnote reference"/>
    <w:basedOn w:val="1060"/>
    <w:uiPriority w:val="99"/>
    <w:semiHidden/>
    <w:unhideWhenUsed/>
    <w:pPr>
      <w:pBdr/>
      <w:spacing/>
      <w:ind/>
    </w:pPr>
    <w:rPr>
      <w:vertAlign w:val="superscript"/>
    </w:rPr>
  </w:style>
  <w:style w:type="character" w:styleId="1099">
    <w:name w:val="Hyperlink"/>
    <w:basedOn w:val="1060"/>
    <w:uiPriority w:val="99"/>
    <w:unhideWhenUsed/>
    <w:pPr>
      <w:pBdr/>
      <w:spacing/>
      <w:ind/>
    </w:pPr>
    <w:rPr>
      <w:color w:val="0563c1" w:themeColor="hyperlink"/>
      <w:u w:val="single"/>
    </w:rPr>
  </w:style>
  <w:style w:type="character" w:styleId="1100">
    <w:name w:val="FollowedHyperlink"/>
    <w:basedOn w:val="1060"/>
    <w:uiPriority w:val="99"/>
    <w:semiHidden/>
    <w:unhideWhenUsed/>
    <w:pPr>
      <w:pBdr/>
      <w:spacing/>
      <w:ind/>
    </w:pPr>
    <w:rPr>
      <w:color w:val="954f72" w:themeColor="followedHyperlink"/>
      <w:u w:val="single"/>
    </w:rPr>
  </w:style>
  <w:style w:type="paragraph" w:styleId="1101">
    <w:name w:val="toc 1"/>
    <w:basedOn w:val="1113"/>
    <w:next w:val="1113"/>
    <w:uiPriority w:val="39"/>
    <w:unhideWhenUsed/>
    <w:pPr>
      <w:pBdr/>
      <w:spacing w:after="100"/>
      <w:ind/>
    </w:pPr>
  </w:style>
  <w:style w:type="paragraph" w:styleId="1102">
    <w:name w:val="toc 2"/>
    <w:basedOn w:val="1113"/>
    <w:next w:val="1113"/>
    <w:uiPriority w:val="39"/>
    <w:unhideWhenUsed/>
    <w:pPr>
      <w:pBdr/>
      <w:spacing w:after="100"/>
      <w:ind w:left="220"/>
    </w:pPr>
  </w:style>
  <w:style w:type="paragraph" w:styleId="1103">
    <w:name w:val="toc 3"/>
    <w:basedOn w:val="1113"/>
    <w:next w:val="1113"/>
    <w:uiPriority w:val="39"/>
    <w:unhideWhenUsed/>
    <w:pPr>
      <w:pBdr/>
      <w:spacing w:after="100"/>
      <w:ind w:left="440"/>
    </w:pPr>
  </w:style>
  <w:style w:type="paragraph" w:styleId="1104">
    <w:name w:val="toc 4"/>
    <w:basedOn w:val="1113"/>
    <w:next w:val="1113"/>
    <w:uiPriority w:val="39"/>
    <w:unhideWhenUsed/>
    <w:pPr>
      <w:pBdr/>
      <w:spacing w:after="100"/>
      <w:ind w:left="660"/>
    </w:pPr>
  </w:style>
  <w:style w:type="paragraph" w:styleId="1105">
    <w:name w:val="toc 5"/>
    <w:basedOn w:val="1113"/>
    <w:next w:val="1113"/>
    <w:uiPriority w:val="39"/>
    <w:unhideWhenUsed/>
    <w:pPr>
      <w:pBdr/>
      <w:spacing w:after="100"/>
      <w:ind w:left="880"/>
    </w:pPr>
  </w:style>
  <w:style w:type="paragraph" w:styleId="1106">
    <w:name w:val="toc 6"/>
    <w:basedOn w:val="1113"/>
    <w:next w:val="1113"/>
    <w:uiPriority w:val="39"/>
    <w:unhideWhenUsed/>
    <w:pPr>
      <w:pBdr/>
      <w:spacing w:after="100"/>
      <w:ind w:left="1100"/>
    </w:pPr>
  </w:style>
  <w:style w:type="paragraph" w:styleId="1107">
    <w:name w:val="toc 7"/>
    <w:basedOn w:val="1113"/>
    <w:next w:val="1113"/>
    <w:uiPriority w:val="39"/>
    <w:unhideWhenUsed/>
    <w:pPr>
      <w:pBdr/>
      <w:spacing w:after="100"/>
      <w:ind w:left="1320"/>
    </w:pPr>
  </w:style>
  <w:style w:type="paragraph" w:styleId="1108">
    <w:name w:val="toc 8"/>
    <w:basedOn w:val="1113"/>
    <w:next w:val="1113"/>
    <w:uiPriority w:val="39"/>
    <w:unhideWhenUsed/>
    <w:pPr>
      <w:pBdr/>
      <w:spacing w:after="100"/>
      <w:ind w:left="1540"/>
    </w:pPr>
  </w:style>
  <w:style w:type="paragraph" w:styleId="1109">
    <w:name w:val="toc 9"/>
    <w:basedOn w:val="1113"/>
    <w:next w:val="1113"/>
    <w:uiPriority w:val="39"/>
    <w:unhideWhenUsed/>
    <w:pPr>
      <w:pBdr/>
      <w:spacing w:after="100"/>
      <w:ind w:left="1760"/>
    </w:pPr>
  </w:style>
  <w:style w:type="character" w:styleId="1110">
    <w:name w:val="Placeholder Text"/>
    <w:basedOn w:val="1060"/>
    <w:uiPriority w:val="99"/>
    <w:semiHidden/>
    <w:pPr>
      <w:pBdr/>
      <w:spacing/>
      <w:ind/>
    </w:pPr>
    <w:rPr>
      <w:color w:val="666666"/>
    </w:rPr>
  </w:style>
  <w:style w:type="paragraph" w:styleId="1111">
    <w:name w:val="TOC Heading"/>
    <w:uiPriority w:val="39"/>
    <w:unhideWhenUsed/>
    <w:pPr>
      <w:pBdr/>
      <w:spacing/>
      <w:ind/>
    </w:pPr>
  </w:style>
  <w:style w:type="paragraph" w:styleId="1112">
    <w:name w:val="table of figures"/>
    <w:basedOn w:val="1113"/>
    <w:next w:val="1113"/>
    <w:uiPriority w:val="99"/>
    <w:unhideWhenUsed/>
    <w:pPr>
      <w:pBdr/>
      <w:spacing w:after="0" w:afterAutospacing="0"/>
      <w:ind/>
    </w:pPr>
  </w:style>
  <w:style w:type="paragraph" w:styleId="1113" w:default="1">
    <w:name w:val="Normal"/>
    <w:next w:val="1113"/>
    <w:link w:val="1113"/>
    <w:qFormat/>
    <w:pPr>
      <w:pBdr/>
      <w:tabs>
        <w:tab w:val="left" w:leader="none" w:pos="567"/>
      </w:tabs>
      <w:spacing w:line="360" w:lineRule="auto"/>
      <w:ind/>
      <w:jc w:val="both"/>
    </w:pPr>
    <w:rPr>
      <w:rFonts w:ascii="Arial" w:hAnsi="Arial"/>
      <w:sz w:val="22"/>
      <w:lang w:val="cs-CZ" w:eastAsia="cs-CZ" w:bidi="ar-SA"/>
    </w:rPr>
  </w:style>
  <w:style w:type="paragraph" w:styleId="1114">
    <w:name w:val="Nadpis 1"/>
    <w:basedOn w:val="1113"/>
    <w:next w:val="1113"/>
    <w:link w:val="1113"/>
    <w:qFormat/>
    <w:pPr>
      <w:keepNext w:val="true"/>
      <w:numPr>
        <w:ilvl w:val="0"/>
        <w:numId w:val="1"/>
      </w:numPr>
      <w:pBdr/>
      <w:spacing w:after="280" w:before="400"/>
      <w:ind/>
      <w:jc w:val="left"/>
      <w:outlineLvl w:val="0"/>
    </w:pPr>
    <w:rPr>
      <w:b/>
      <w:caps/>
      <w:sz w:val="28"/>
      <w:u w:val="single"/>
    </w:rPr>
  </w:style>
  <w:style w:type="paragraph" w:styleId="1115">
    <w:name w:val="Nadpis 2"/>
    <w:basedOn w:val="1113"/>
    <w:next w:val="1113"/>
    <w:link w:val="1113"/>
    <w:qFormat/>
    <w:pPr>
      <w:keepNext w:val="true"/>
      <w:numPr>
        <w:ilvl w:val="1"/>
        <w:numId w:val="1"/>
      </w:numPr>
      <w:pBdr/>
      <w:spacing w:after="240" w:before="360"/>
      <w:ind/>
      <w:outlineLvl w:val="1"/>
    </w:pPr>
    <w:rPr>
      <w:b/>
      <w:caps/>
      <w:sz w:val="28"/>
      <w:u w:val="single"/>
    </w:rPr>
  </w:style>
  <w:style w:type="paragraph" w:styleId="1116">
    <w:name w:val="Nadpis 3"/>
    <w:basedOn w:val="1115"/>
    <w:next w:val="1113"/>
    <w:link w:val="1113"/>
    <w:qFormat/>
    <w:pPr>
      <w:numPr>
        <w:ilvl w:val="2"/>
        <w:numId w:val="1"/>
      </w:numPr>
      <w:pBdr/>
      <w:spacing/>
      <w:ind/>
      <w:outlineLvl w:val="2"/>
    </w:pPr>
    <w:rPr>
      <w:sz w:val="24"/>
    </w:rPr>
  </w:style>
  <w:style w:type="paragraph" w:styleId="1117">
    <w:name w:val="Nadpis 4"/>
    <w:basedOn w:val="1113"/>
    <w:next w:val="1113"/>
    <w:link w:val="1157"/>
    <w:qFormat/>
    <w:pPr>
      <w:keepNext w:val="true"/>
      <w:numPr>
        <w:ilvl w:val="3"/>
        <w:numId w:val="1"/>
      </w:numPr>
      <w:pBdr/>
      <w:tabs>
        <w:tab w:val="left" w:leader="none" w:pos="284"/>
        <w:tab w:val="left" w:leader="none" w:pos="851"/>
        <w:tab w:val="left" w:leader="none" w:pos="1134"/>
        <w:tab w:val="left" w:leader="none" w:pos="1418"/>
        <w:tab w:val="left" w:leader="none" w:pos="1701"/>
      </w:tabs>
      <w:spacing w:after="60" w:before="120" w:line="312" w:lineRule="auto"/>
      <w:ind/>
      <w:jc w:val="left"/>
      <w:outlineLvl w:val="3"/>
    </w:pPr>
    <w:rPr>
      <w:b/>
      <w:i/>
      <w:sz w:val="24"/>
      <w:u w:val="single"/>
    </w:rPr>
  </w:style>
  <w:style w:type="paragraph" w:styleId="1118">
    <w:name w:val="Nadpis 5"/>
    <w:basedOn w:val="1113"/>
    <w:next w:val="1113"/>
    <w:link w:val="1113"/>
    <w:qFormat/>
    <w:pPr>
      <w:keepNext w:val="true"/>
      <w:pBdr/>
      <w:spacing/>
      <w:ind/>
      <w:outlineLvl w:val="4"/>
    </w:pPr>
    <w:rPr>
      <w:b/>
      <w:color w:val="ff00ff"/>
    </w:rPr>
  </w:style>
  <w:style w:type="paragraph" w:styleId="1119">
    <w:name w:val="Nadpis 6"/>
    <w:basedOn w:val="1113"/>
    <w:next w:val="1113"/>
    <w:link w:val="1113"/>
    <w:qFormat/>
    <w:pPr>
      <w:keepNext w:val="true"/>
      <w:pBdr/>
      <w:spacing/>
      <w:ind/>
      <w:outlineLvl w:val="5"/>
    </w:pPr>
    <w:rPr>
      <w:b/>
    </w:rPr>
  </w:style>
  <w:style w:type="paragraph" w:styleId="1120">
    <w:name w:val="Nadpis 7"/>
    <w:basedOn w:val="1113"/>
    <w:next w:val="1113"/>
    <w:link w:val="1113"/>
    <w:qFormat/>
    <w:pPr>
      <w:keepNext w:val="true"/>
      <w:pBdr/>
      <w:spacing/>
      <w:ind/>
      <w:outlineLvl w:val="6"/>
    </w:pPr>
    <w:rPr>
      <w:i/>
      <w:u w:val="single"/>
    </w:rPr>
  </w:style>
  <w:style w:type="paragraph" w:styleId="1121">
    <w:name w:val="Nadpis 8"/>
    <w:basedOn w:val="1113"/>
    <w:next w:val="1113"/>
    <w:link w:val="1113"/>
    <w:qFormat/>
    <w:pPr>
      <w:widowControl w:val="false"/>
      <w:numPr>
        <w:ilvl w:val="7"/>
        <w:numId w:val="1"/>
      </w:numPr>
      <w:pBdr/>
      <w:tabs>
        <w:tab w:val="clear" w:leader="none" w:pos="567"/>
      </w:tabs>
      <w:spacing w:after="60" w:before="240" w:line="240" w:lineRule="auto"/>
      <w:ind/>
      <w:outlineLvl w:val="7"/>
    </w:pPr>
    <w:rPr>
      <w:i/>
      <w:sz w:val="24"/>
    </w:rPr>
  </w:style>
  <w:style w:type="paragraph" w:styleId="1122">
    <w:name w:val="Nadpis 9"/>
    <w:basedOn w:val="1113"/>
    <w:next w:val="1113"/>
    <w:link w:val="1113"/>
    <w:qFormat/>
    <w:pPr>
      <w:widowControl w:val="false"/>
      <w:numPr>
        <w:ilvl w:val="8"/>
        <w:numId w:val="1"/>
      </w:numPr>
      <w:pBdr/>
      <w:tabs>
        <w:tab w:val="clear" w:leader="none" w:pos="567"/>
      </w:tabs>
      <w:spacing w:after="60" w:before="240" w:line="240" w:lineRule="auto"/>
      <w:ind/>
      <w:outlineLvl w:val="8"/>
    </w:pPr>
    <w:rPr>
      <w:b/>
      <w:i/>
      <w:sz w:val="18"/>
    </w:rPr>
  </w:style>
  <w:style w:type="character" w:styleId="1123">
    <w:name w:val="Standardní písmo odstavce"/>
    <w:next w:val="1123"/>
    <w:link w:val="1113"/>
    <w:semiHidden/>
    <w:pPr>
      <w:pBdr/>
      <w:spacing/>
      <w:ind/>
    </w:pPr>
  </w:style>
  <w:style w:type="table" w:styleId="1124">
    <w:name w:val="Normální tabulka"/>
    <w:next w:val="1124"/>
    <w:link w:val="1113"/>
    <w:uiPriority w:val="99"/>
    <w:semiHidden/>
    <w:unhideWhenUsed/>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125">
    <w:name w:val="Bez seznamu"/>
    <w:next w:val="1125"/>
    <w:link w:val="1113"/>
    <w:uiPriority w:val="99"/>
    <w:semiHidden/>
    <w:unhideWhenUsed/>
    <w:pPr>
      <w:pBdr/>
      <w:spacing/>
      <w:ind/>
    </w:pPr>
  </w:style>
  <w:style w:type="paragraph" w:styleId="1126">
    <w:name w:val="Záhlaví"/>
    <w:basedOn w:val="1113"/>
    <w:next w:val="1126"/>
    <w:link w:val="1155"/>
    <w:uiPriority w:val="99"/>
    <w:pPr>
      <w:pBdr/>
      <w:tabs>
        <w:tab w:val="center" w:leader="none" w:pos="4536"/>
        <w:tab w:val="right" w:leader="none" w:pos="9072"/>
      </w:tabs>
      <w:spacing w:line="240" w:lineRule="auto"/>
      <w:ind/>
    </w:pPr>
  </w:style>
  <w:style w:type="paragraph" w:styleId="1127">
    <w:name w:val="Zápatí"/>
    <w:basedOn w:val="1113"/>
    <w:next w:val="1127"/>
    <w:link w:val="1113"/>
    <w:semiHidden/>
    <w:pPr>
      <w:pBdr/>
      <w:tabs>
        <w:tab w:val="center" w:leader="none" w:pos="4536"/>
        <w:tab w:val="right" w:leader="none" w:pos="9072"/>
      </w:tabs>
      <w:spacing/>
      <w:ind/>
    </w:pPr>
  </w:style>
  <w:style w:type="character" w:styleId="1128">
    <w:name w:val="Číslo stránky"/>
    <w:basedOn w:val="1123"/>
    <w:next w:val="1128"/>
    <w:link w:val="1113"/>
    <w:semiHidden/>
    <w:pPr>
      <w:pBdr/>
      <w:spacing/>
      <w:ind/>
    </w:pPr>
  </w:style>
  <w:style w:type="paragraph" w:styleId="1129">
    <w:name w:val="Obsah 3"/>
    <w:basedOn w:val="1113"/>
    <w:next w:val="1113"/>
    <w:link w:val="1113"/>
    <w:uiPriority w:val="39"/>
    <w:pPr>
      <w:pBdr/>
      <w:tabs>
        <w:tab w:val="right" w:leader="dot" w:pos="9356"/>
      </w:tabs>
      <w:spacing/>
      <w:ind w:left="227"/>
      <w:jc w:val="left"/>
    </w:pPr>
    <w:rPr>
      <w:caps/>
      <w:sz w:val="20"/>
    </w:rPr>
  </w:style>
  <w:style w:type="paragraph" w:styleId="1130">
    <w:name w:val="Obsah 2"/>
    <w:basedOn w:val="1113"/>
    <w:next w:val="1113"/>
    <w:link w:val="1113"/>
    <w:uiPriority w:val="39"/>
    <w:pPr>
      <w:pBdr/>
      <w:tabs>
        <w:tab w:val="right" w:leader="dot" w:pos="9355"/>
      </w:tabs>
      <w:spacing/>
      <w:ind w:left="113"/>
      <w:jc w:val="left"/>
    </w:pPr>
    <w:rPr>
      <w:caps/>
      <w:sz w:val="20"/>
    </w:rPr>
  </w:style>
  <w:style w:type="paragraph" w:styleId="1131">
    <w:name w:val="Obsah 1"/>
    <w:basedOn w:val="1113"/>
    <w:next w:val="1113"/>
    <w:link w:val="1113"/>
    <w:uiPriority w:val="39"/>
    <w:pPr>
      <w:pBdr/>
      <w:tabs>
        <w:tab w:val="right" w:leader="dot" w:pos="9355"/>
      </w:tabs>
      <w:spacing/>
      <w:ind/>
      <w:jc w:val="left"/>
    </w:pPr>
    <w:rPr>
      <w:caps/>
      <w:sz w:val="20"/>
    </w:rPr>
  </w:style>
  <w:style w:type="paragraph" w:styleId="1132">
    <w:name w:val="Obsah 4"/>
    <w:basedOn w:val="1113"/>
    <w:next w:val="1113"/>
    <w:link w:val="1113"/>
    <w:semiHidden/>
    <w:pPr>
      <w:pBdr/>
      <w:tabs>
        <w:tab w:val="right" w:leader="dot" w:pos="9356"/>
      </w:tabs>
      <w:spacing/>
      <w:ind/>
      <w:jc w:val="center"/>
    </w:pPr>
    <w:rPr>
      <w:b/>
      <w:sz w:val="28"/>
    </w:rPr>
  </w:style>
  <w:style w:type="paragraph" w:styleId="1133">
    <w:name w:val="Základní text"/>
    <w:basedOn w:val="1113"/>
    <w:next w:val="1133"/>
    <w:link w:val="1113"/>
    <w:semiHidden/>
    <w:pPr>
      <w:pBdr/>
      <w:spacing/>
      <w:ind/>
    </w:pPr>
    <w:rPr>
      <w:color w:val="ff00ff"/>
    </w:rPr>
  </w:style>
  <w:style w:type="paragraph" w:styleId="1134">
    <w:name w:val="NADPIS"/>
    <w:basedOn w:val="1113"/>
    <w:next w:val="1114"/>
    <w:link w:val="1113"/>
    <w:pPr>
      <w:pBdr/>
      <w:spacing w:after="240" w:before="120"/>
      <w:ind/>
      <w:jc w:val="center"/>
    </w:pPr>
    <w:rPr>
      <w:b/>
      <w:caps/>
      <w:sz w:val="32"/>
      <w:u w:val="single"/>
    </w:rPr>
  </w:style>
  <w:style w:type="paragraph" w:styleId="1135">
    <w:name w:val="Body Text 2"/>
    <w:basedOn w:val="1113"/>
    <w:next w:val="1135"/>
    <w:link w:val="1113"/>
    <w:pPr>
      <w:pBdr/>
      <w:spacing/>
      <w:ind w:left="284"/>
    </w:pPr>
  </w:style>
  <w:style w:type="paragraph" w:styleId="1136">
    <w:name w:val="Body Text Indent 2"/>
    <w:basedOn w:val="1113"/>
    <w:next w:val="1136"/>
    <w:link w:val="1113"/>
    <w:pPr>
      <w:pBdr/>
      <w:spacing/>
      <w:ind w:firstLine="284"/>
    </w:pPr>
  </w:style>
  <w:style w:type="paragraph" w:styleId="1137">
    <w:name w:val="Body Text Indent 3"/>
    <w:basedOn w:val="1113"/>
    <w:next w:val="1137"/>
    <w:link w:val="1113"/>
    <w:pPr>
      <w:pBdr/>
      <w:spacing/>
      <w:ind w:firstLine="284"/>
    </w:pPr>
    <w:rPr>
      <w:color w:val="ff00ff"/>
    </w:rPr>
  </w:style>
  <w:style w:type="paragraph" w:styleId="1138">
    <w:name w:val="Obsah 5"/>
    <w:basedOn w:val="1113"/>
    <w:next w:val="1113"/>
    <w:link w:val="1113"/>
    <w:semiHidden/>
    <w:pPr>
      <w:pBdr/>
      <w:spacing/>
      <w:ind w:left="960"/>
    </w:pPr>
  </w:style>
  <w:style w:type="paragraph" w:styleId="1139">
    <w:name w:val="Obsah 6"/>
    <w:basedOn w:val="1113"/>
    <w:next w:val="1113"/>
    <w:link w:val="1113"/>
    <w:semiHidden/>
    <w:pPr>
      <w:pBdr/>
      <w:spacing/>
      <w:ind w:left="1200"/>
    </w:pPr>
  </w:style>
  <w:style w:type="paragraph" w:styleId="1140">
    <w:name w:val="Obsah 7"/>
    <w:basedOn w:val="1113"/>
    <w:next w:val="1113"/>
    <w:link w:val="1113"/>
    <w:semiHidden/>
    <w:pPr>
      <w:pBdr/>
      <w:spacing/>
      <w:ind w:left="1440"/>
    </w:pPr>
  </w:style>
  <w:style w:type="paragraph" w:styleId="1141">
    <w:name w:val="Obsah 8"/>
    <w:basedOn w:val="1113"/>
    <w:next w:val="1113"/>
    <w:link w:val="1113"/>
    <w:semiHidden/>
    <w:pPr>
      <w:pBdr/>
      <w:spacing/>
      <w:ind w:left="1680"/>
    </w:pPr>
  </w:style>
  <w:style w:type="paragraph" w:styleId="1142">
    <w:name w:val="Obsah 9"/>
    <w:basedOn w:val="1113"/>
    <w:next w:val="1113"/>
    <w:link w:val="1113"/>
    <w:semiHidden/>
    <w:pPr>
      <w:pBdr/>
      <w:spacing/>
      <w:ind w:left="1920"/>
    </w:pPr>
  </w:style>
  <w:style w:type="paragraph" w:styleId="1143">
    <w:name w:val="seznam"/>
    <w:basedOn w:val="1113"/>
    <w:next w:val="1143"/>
    <w:link w:val="1113"/>
    <w:pPr>
      <w:widowControl w:val="false"/>
      <w:pBdr/>
      <w:tabs>
        <w:tab w:val="clear" w:leader="none" w:pos="567"/>
      </w:tabs>
      <w:spacing/>
      <w:ind/>
    </w:pPr>
    <w:rPr>
      <w:rFonts w:ascii="Times New Roman" w:hAnsi="Times New Roman"/>
      <w:sz w:val="24"/>
    </w:rPr>
  </w:style>
  <w:style w:type="character" w:styleId="1144">
    <w:name w:val="Hyperlink1"/>
    <w:next w:val="1144"/>
    <w:link w:val="1113"/>
    <w:pPr>
      <w:pBdr/>
      <w:spacing/>
      <w:ind/>
    </w:pPr>
    <w:rPr>
      <w:color w:val="0000ff"/>
      <w:u w:val="single"/>
    </w:rPr>
  </w:style>
  <w:style w:type="paragraph" w:styleId="1145">
    <w:name w:val="Seznam"/>
    <w:basedOn w:val="1113"/>
    <w:next w:val="1145"/>
    <w:link w:val="1113"/>
    <w:semiHidden/>
    <w:pPr>
      <w:pBdr/>
      <w:tabs>
        <w:tab w:val="clear" w:leader="none" w:pos="567"/>
      </w:tabs>
      <w:spacing w:line="240" w:lineRule="auto"/>
      <w:ind w:hanging="283" w:left="283"/>
    </w:pPr>
    <w:rPr>
      <w:sz w:val="24"/>
    </w:rPr>
  </w:style>
  <w:style w:type="paragraph" w:styleId="1146">
    <w:name w:val="Body Text 3"/>
    <w:basedOn w:val="1113"/>
    <w:next w:val="1146"/>
    <w:link w:val="1113"/>
    <w:pPr>
      <w:pBdr/>
      <w:tabs>
        <w:tab w:val="clear" w:leader="none" w:pos="567"/>
      </w:tabs>
      <w:spacing w:line="240" w:lineRule="auto"/>
      <w:ind/>
    </w:pPr>
    <w:rPr>
      <w:b/>
      <w:i/>
      <w:sz w:val="24"/>
    </w:rPr>
  </w:style>
  <w:style w:type="paragraph" w:styleId="1147">
    <w:name w:val="Text bubliny"/>
    <w:basedOn w:val="1113"/>
    <w:next w:val="1147"/>
    <w:link w:val="1113"/>
    <w:semiHidden/>
    <w:pPr>
      <w:pBdr/>
      <w:spacing/>
      <w:ind/>
    </w:pPr>
    <w:rPr>
      <w:rFonts w:ascii="Tahoma" w:hAnsi="Tahoma" w:cs="SuperFrench"/>
      <w:sz w:val="16"/>
      <w:szCs w:val="16"/>
    </w:rPr>
  </w:style>
  <w:style w:type="character" w:styleId="1148">
    <w:name w:val="Hypertextový odkaz"/>
    <w:next w:val="1148"/>
    <w:link w:val="1113"/>
    <w:uiPriority w:val="99"/>
    <w:pPr>
      <w:pBdr/>
      <w:spacing/>
      <w:ind/>
    </w:pPr>
    <w:rPr>
      <w:color w:val="0000ff"/>
      <w:u w:val="single"/>
    </w:rPr>
  </w:style>
  <w:style w:type="paragraph" w:styleId="1149">
    <w:name w:val="Rozložení dokumentu"/>
    <w:basedOn w:val="1113"/>
    <w:next w:val="1149"/>
    <w:link w:val="1113"/>
    <w:semiHidden/>
    <w:pPr>
      <w:pBdr/>
      <w:shd w:val="clear" w:color="auto" w:fill="000080"/>
      <w:spacing/>
      <w:ind/>
    </w:pPr>
    <w:rPr>
      <w:rFonts w:ascii="Tahoma" w:hAnsi="Tahoma" w:cs="SuperFrench"/>
      <w:sz w:val="20"/>
    </w:rPr>
  </w:style>
  <w:style w:type="paragraph" w:styleId="1150">
    <w:name w:val="Základní text odsazený"/>
    <w:basedOn w:val="1113"/>
    <w:next w:val="1150"/>
    <w:link w:val="1113"/>
    <w:semiHidden/>
    <w:pPr>
      <w:pBdr/>
      <w:spacing w:after="120"/>
      <w:ind w:left="283"/>
    </w:pPr>
  </w:style>
  <w:style w:type="paragraph" w:styleId="1151">
    <w:name w:val="Základní text 2"/>
    <w:basedOn w:val="1113"/>
    <w:next w:val="1151"/>
    <w:link w:val="1113"/>
    <w:semiHidden/>
    <w:pPr>
      <w:pBdr/>
      <w:spacing w:after="120" w:line="480" w:lineRule="auto"/>
      <w:ind/>
    </w:pPr>
  </w:style>
  <w:style w:type="paragraph" w:styleId="1152">
    <w:name w:val="Základní text odsazený 2"/>
    <w:basedOn w:val="1113"/>
    <w:next w:val="1152"/>
    <w:link w:val="1113"/>
    <w:semiHidden/>
    <w:pPr>
      <w:pBdr/>
      <w:spacing/>
      <w:ind w:firstLine="360"/>
    </w:pPr>
    <w:rPr>
      <w:sz w:val="24"/>
    </w:rPr>
  </w:style>
  <w:style w:type="paragraph" w:styleId="1153">
    <w:name w:val="Základní text odsazený 3"/>
    <w:basedOn w:val="1113"/>
    <w:next w:val="1153"/>
    <w:link w:val="1113"/>
    <w:semiHidden/>
    <w:pPr>
      <w:pBdr/>
      <w:spacing/>
      <w:ind w:firstLine="567"/>
    </w:pPr>
  </w:style>
  <w:style w:type="paragraph" w:styleId="1154">
    <w:name w:val="Základní text 3"/>
    <w:basedOn w:val="1113"/>
    <w:next w:val="1154"/>
    <w:link w:val="1113"/>
    <w:semiHidden/>
    <w:pPr>
      <w:pBdr/>
      <w:spacing/>
      <w:ind/>
      <w:jc w:val="left"/>
    </w:pPr>
  </w:style>
  <w:style w:type="character" w:styleId="1155">
    <w:name w:val="Záhlaví Char"/>
    <w:next w:val="1155"/>
    <w:link w:val="1126"/>
    <w:uiPriority w:val="99"/>
    <w:pPr>
      <w:pBdr/>
      <w:spacing/>
      <w:ind/>
    </w:pPr>
    <w:rPr>
      <w:rFonts w:ascii="Arial" w:hAnsi="Arial"/>
      <w:sz w:val="22"/>
    </w:rPr>
  </w:style>
  <w:style w:type="paragraph" w:styleId="1156">
    <w:name w:val="Nadpis obsahu"/>
    <w:basedOn w:val="1114"/>
    <w:next w:val="1113"/>
    <w:link w:val="1113"/>
    <w:uiPriority w:val="39"/>
    <w:unhideWhenUsed/>
    <w:qFormat/>
    <w:pPr>
      <w:keepLines w:val="true"/>
      <w:numPr>
        <w:ilvl w:val="0"/>
        <w:numId w:val="0"/>
      </w:numPr>
      <w:pBdr/>
      <w:tabs>
        <w:tab w:val="clear" w:leader="none" w:pos="567"/>
      </w:tabs>
      <w:spacing w:after="0" w:before="240" w:line="259" w:lineRule="auto"/>
      <w:ind/>
      <w:outlineLvl w:val="9"/>
    </w:pPr>
    <w:rPr>
      <w:rFonts w:ascii="Calibri Light" w:hAnsi="Calibri Light" w:eastAsia="Times New Roman" w:cs="Times New Roman"/>
      <w:b w:val="0"/>
      <w:caps w:val="0"/>
      <w:color w:val="2e74b5"/>
      <w:sz w:val="32"/>
      <w:szCs w:val="32"/>
      <w:u w:val="none"/>
    </w:rPr>
  </w:style>
  <w:style w:type="character" w:styleId="1157">
    <w:name w:val="Nadpis 4 Char"/>
    <w:next w:val="1157"/>
    <w:link w:val="1117"/>
    <w:pPr>
      <w:pBdr/>
      <w:spacing/>
      <w:ind/>
    </w:pPr>
    <w:rPr>
      <w:rFonts w:ascii="Arial" w:hAnsi="Arial"/>
      <w:b/>
      <w:i/>
      <w:sz w:val="24"/>
      <w:u w:val="single"/>
    </w:rPr>
  </w:style>
  <w:style w:type="paragraph" w:styleId="1158">
    <w:name w:val="Odstavec se seznamem"/>
    <w:basedOn w:val="1113"/>
    <w:next w:val="1158"/>
    <w:link w:val="1113"/>
    <w:uiPriority w:val="34"/>
    <w:qFormat/>
    <w:pPr>
      <w:pBdr/>
      <w:spacing/>
      <w:ind w:left="708"/>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VIS a. s.</Company>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Jana</dc:creator>
  <cp:revision>189</cp:revision>
  <dcterms:created xsi:type="dcterms:W3CDTF">2014-05-13T07:48:00Z</dcterms:created>
  <dcterms:modified xsi:type="dcterms:W3CDTF">2025-12-10T13:09:11Z</dcterms:modified>
  <cp:version>983040</cp:version>
</cp:coreProperties>
</file>